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E460C" w14:textId="30599D5C" w:rsidR="00AA79F3" w:rsidRPr="00BE1F89" w:rsidRDefault="00B96288" w:rsidP="007C4F08">
      <w:pPr>
        <w:pStyle w:val="Title"/>
        <w:rPr>
          <w:sz w:val="40"/>
          <w:szCs w:val="72"/>
        </w:rPr>
      </w:pPr>
      <w:sdt>
        <w:sdtPr>
          <w:rPr>
            <w:sz w:val="40"/>
            <w:szCs w:val="72"/>
          </w:r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Pr>
              <w:sz w:val="40"/>
              <w:szCs w:val="72"/>
            </w:rPr>
            <w:t>Hot Food Takeaway Topic Paper</w:t>
          </w:r>
        </w:sdtContent>
      </w:sdt>
    </w:p>
    <w:p w14:paraId="38578373" w14:textId="77777777" w:rsidR="00BE1F89" w:rsidRPr="00BE1F89" w:rsidRDefault="00BE1F89" w:rsidP="00BE1F89"/>
    <w:p w14:paraId="47651AF4" w14:textId="1CD9DF7C" w:rsidR="00070438" w:rsidRPr="004A055E" w:rsidRDefault="00BE1F89" w:rsidP="00070438">
      <w:pPr>
        <w:rPr>
          <w:rFonts w:eastAsia="Times New Roman"/>
          <w:bCs/>
          <w:noProof/>
          <w:color w:val="000000" w:themeColor="text1"/>
          <w:sz w:val="28"/>
          <w:szCs w:val="28"/>
        </w:rPr>
      </w:pPr>
      <w:r w:rsidRPr="004A055E">
        <w:rPr>
          <w:rFonts w:eastAsia="Times New Roman"/>
          <w:bCs/>
          <w:noProof/>
          <w:color w:val="000000" w:themeColor="text1"/>
          <w:sz w:val="28"/>
          <w:szCs w:val="28"/>
        </w:rPr>
        <w:t>This paper lays out the evidence underpinning Policy D.TC5 in the Tower Hamlets Local Plan 2020-2031. It discusses unhealthy weight and its causes and consequences and the correlation between hot food takeaways and unhealthy weight in children and adults. It describes our borough’s notably imbalanced food environment and links what is sold on our high streets with high rates of diet related diseases. It provides insight from a policy analysis conducted between 2019 – 2021 on Policy D.TC5 as well as the current evidence base to reinforce this policy to further restrict the over-proliferation of hot food take aways around schools.</w:t>
      </w:r>
    </w:p>
    <w:p w14:paraId="72167C8D" w14:textId="77777777" w:rsidR="00BE1F89" w:rsidRPr="00070438" w:rsidRDefault="00BE1F89" w:rsidP="00070438"/>
    <w:sdt>
      <w:sdt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3-05-16T00:00:00Z">
          <w:dateFormat w:val="dd/MM/yyyy"/>
          <w:lid w:val="en-GB"/>
          <w:storeMappedDataAs w:val="dateTime"/>
          <w:calendar w:val="gregorian"/>
        </w:date>
      </w:sdtPr>
      <w:sdtEndPr/>
      <w:sdtContent>
        <w:p w14:paraId="491545AC" w14:textId="72B0A644" w:rsidR="00CC4CE1" w:rsidRPr="00CC4CE1" w:rsidRDefault="00567C9F" w:rsidP="00101F8B">
          <w:r>
            <w:t>16/05/2023</w:t>
          </w:r>
        </w:p>
      </w:sdtContent>
    </w:sdt>
    <w:p w14:paraId="16189B94" w14:textId="77777777" w:rsidR="00CC4CE1" w:rsidRDefault="00CC4CE1" w:rsidP="00101F8B"/>
    <w:p w14:paraId="6A186196" w14:textId="77777777" w:rsidR="00CC4CE1" w:rsidRDefault="00CC4CE1" w:rsidP="00101F8B"/>
    <w:p w14:paraId="4597F171" w14:textId="050A5C9F" w:rsidR="00CC4CE1" w:rsidRDefault="00CC4CE1" w:rsidP="00534043">
      <w:pPr>
        <w:pStyle w:val="NoSpacing"/>
      </w:pPr>
    </w:p>
    <w:p w14:paraId="798FE5F9" w14:textId="207673BA" w:rsidR="0009232A" w:rsidRDefault="0009232A" w:rsidP="00534043">
      <w:pPr>
        <w:pStyle w:val="NoSpacing"/>
      </w:pPr>
    </w:p>
    <w:p w14:paraId="7B425A31" w14:textId="77777777" w:rsidR="0009232A" w:rsidRDefault="0009232A" w:rsidP="00534043">
      <w:pPr>
        <w:pStyle w:val="NoSpacing"/>
      </w:pPr>
    </w:p>
    <w:p w14:paraId="027F2B45" w14:textId="77777777" w:rsidR="0009232A" w:rsidRDefault="0009232A" w:rsidP="00534043">
      <w:pPr>
        <w:pStyle w:val="NoSpacing"/>
      </w:pPr>
    </w:p>
    <w:p w14:paraId="4AAE1584" w14:textId="77777777" w:rsidR="0009232A" w:rsidRDefault="0009232A" w:rsidP="00534043">
      <w:pPr>
        <w:pStyle w:val="NoSpacing"/>
      </w:pPr>
    </w:p>
    <w:p w14:paraId="27474B52" w14:textId="77777777" w:rsidR="0009232A" w:rsidRDefault="0009232A" w:rsidP="00534043">
      <w:pPr>
        <w:pStyle w:val="NoSpacing"/>
      </w:pPr>
    </w:p>
    <w:p w14:paraId="4642E87C" w14:textId="77777777" w:rsidR="00CA5952" w:rsidRPr="00CA5952" w:rsidRDefault="00CA5952" w:rsidP="00CA5952">
      <w:pPr>
        <w:rPr>
          <w:lang w:eastAsia="en-US"/>
        </w:rPr>
      </w:pPr>
    </w:p>
    <w:p w14:paraId="45CCAA83" w14:textId="77777777" w:rsidR="00CA5952" w:rsidRDefault="00CA5952" w:rsidP="00CA5952">
      <w:pPr>
        <w:jc w:val="center"/>
        <w:rPr>
          <w:rFonts w:eastAsiaTheme="minorHAnsi"/>
          <w:lang w:eastAsia="en-US"/>
        </w:rPr>
      </w:pPr>
    </w:p>
    <w:p w14:paraId="3F4EFDBD" w14:textId="57B62D05" w:rsidR="00CA5952" w:rsidRPr="00CA5952" w:rsidRDefault="00CA5952" w:rsidP="00CA5952">
      <w:pPr>
        <w:tabs>
          <w:tab w:val="center" w:pos="4513"/>
        </w:tabs>
        <w:rPr>
          <w:lang w:eastAsia="en-US"/>
        </w:rPr>
        <w:sectPr w:rsidR="00CA5952" w:rsidRPr="00CA5952" w:rsidSect="007B40D8">
          <w:headerReference w:type="even" r:id="rId12"/>
          <w:headerReference w:type="default" r:id="rId13"/>
          <w:footerReference w:type="even" r:id="rId14"/>
          <w:footerReference w:type="default" r:id="rId15"/>
          <w:headerReference w:type="first" r:id="rId16"/>
          <w:footerReference w:type="first" r:id="rId17"/>
          <w:footnotePr>
            <w:pos w:val="beneathText"/>
          </w:footnotePr>
          <w:endnotePr>
            <w:numFmt w:val="decimal"/>
          </w:endnotePr>
          <w:pgSz w:w="11906" w:h="16838"/>
          <w:pgMar w:top="3544" w:right="1440" w:bottom="1440" w:left="1440" w:header="708" w:footer="708" w:gutter="0"/>
          <w:cols w:space="708"/>
          <w:docGrid w:linePitch="360"/>
        </w:sectPr>
      </w:pPr>
      <w:r>
        <w:rPr>
          <w:lang w:eastAsia="en-US"/>
        </w:rPr>
        <w:tab/>
      </w:r>
    </w:p>
    <w:p w14:paraId="4FBE3585" w14:textId="051BA6AA" w:rsidR="00510C07" w:rsidRPr="00510C07" w:rsidRDefault="00BA4756" w:rsidP="000F757C">
      <w:pPr>
        <w:pStyle w:val="Heading1"/>
      </w:pPr>
      <w:bookmarkStart w:id="0" w:name="_Toc95392568"/>
      <w:r>
        <w:lastRenderedPageBreak/>
        <w:t xml:space="preserve">1. </w:t>
      </w:r>
      <w:r w:rsidR="00510C07" w:rsidRPr="00510C07">
        <w:t>Introduction</w:t>
      </w:r>
      <w:bookmarkEnd w:id="0"/>
    </w:p>
    <w:p w14:paraId="0EB512FA" w14:textId="77777777" w:rsidR="00510C07" w:rsidRDefault="00510C07" w:rsidP="00101F8B"/>
    <w:p w14:paraId="5F0F8B12" w14:textId="2EEBB8E5" w:rsidR="001D0086" w:rsidRPr="00490530" w:rsidRDefault="00490530" w:rsidP="00490530">
      <w:pPr>
        <w:rPr>
          <w:lang w:val="en-US"/>
        </w:rPr>
      </w:pPr>
      <w:r w:rsidRPr="00490530">
        <w:rPr>
          <w:lang w:val="en-US"/>
        </w:rPr>
        <w:t>The National Planning and Policy Framework includes clear objectives for planning and health. A core planning principle (paragraph 93) states that: “planning policies and decisions should take into account and support the delivery of local strategies to improve health, social and cultural well-being for all sections of the community”.</w:t>
      </w:r>
      <w:r w:rsidR="001D0086" w:rsidRPr="00490530">
        <w:rPr>
          <w:vertAlign w:val="superscript"/>
          <w:lang w:val="en-US"/>
        </w:rPr>
        <w:endnoteReference w:id="2"/>
      </w:r>
    </w:p>
    <w:p w14:paraId="72570B00" w14:textId="77777777" w:rsidR="001D0086" w:rsidRPr="00490530" w:rsidRDefault="001D0086" w:rsidP="00490530">
      <w:pPr>
        <w:rPr>
          <w:lang w:val="en-US"/>
        </w:rPr>
      </w:pPr>
      <w:r w:rsidRPr="00490530">
        <w:rPr>
          <w:lang w:val="en-US"/>
        </w:rPr>
        <w:t>The London Plan 2021</w:t>
      </w:r>
      <w:r w:rsidRPr="00490530">
        <w:rPr>
          <w:vertAlign w:val="superscript"/>
          <w:lang w:val="en-US"/>
        </w:rPr>
        <w:endnoteReference w:id="3"/>
      </w:r>
      <w:r w:rsidRPr="00490530">
        <w:rPr>
          <w:lang w:val="en-US"/>
        </w:rPr>
        <w:t xml:space="preserve"> contains a London-wide policy to prevent new hot food takeaways from opening within 400 metres walking distance of an existing or proposed primary or secondary school (Policy E9, page 269, chapter 6). The plan also requires any permitted development involving hot food takeaways to be conditional upon the operator achieving and operating in compliance with the Healthier Catering Commitment Standard. Furthermore, the plan encourages boroughs to manage over-concentrations of activities including hot-food takeaways.</w:t>
      </w:r>
    </w:p>
    <w:p w14:paraId="7A9CE14A" w14:textId="77777777" w:rsidR="000D57ED" w:rsidRDefault="000D57ED" w:rsidP="004A055E">
      <w:pPr>
        <w:rPr>
          <w:color w:val="000000" w:themeColor="text1"/>
          <w:u w:val="single"/>
          <w:lang w:val="en-US"/>
        </w:rPr>
      </w:pPr>
    </w:p>
    <w:p w14:paraId="21BA00EE" w14:textId="6AE5660C" w:rsidR="001D0086" w:rsidRPr="000D57ED" w:rsidRDefault="00DD389A" w:rsidP="00DD389A">
      <w:pPr>
        <w:pStyle w:val="Heading2"/>
        <w:rPr>
          <w:lang w:val="en-US"/>
        </w:rPr>
      </w:pPr>
      <w:r>
        <w:rPr>
          <w:lang w:val="en-US"/>
        </w:rPr>
        <w:t xml:space="preserve">1.1 </w:t>
      </w:r>
      <w:r w:rsidR="001D0086" w:rsidRPr="000D57ED">
        <w:rPr>
          <w:lang w:val="en-US"/>
        </w:rPr>
        <w:t>Relevant national plan policy</w:t>
      </w:r>
    </w:p>
    <w:p w14:paraId="7CD77DE9" w14:textId="77777777" w:rsidR="000D57ED" w:rsidRPr="000D57ED" w:rsidRDefault="000D57ED" w:rsidP="000D57ED">
      <w:pPr>
        <w:rPr>
          <w:color w:val="000000" w:themeColor="text1"/>
          <w:u w:val="single"/>
          <w:lang w:val="en-US"/>
        </w:rPr>
      </w:pPr>
    </w:p>
    <w:p w14:paraId="77C25C6F" w14:textId="77777777" w:rsidR="001D0086" w:rsidRPr="004A055E" w:rsidRDefault="001D0086" w:rsidP="004A055E">
      <w:pPr>
        <w:rPr>
          <w:color w:val="000000" w:themeColor="text1"/>
          <w:lang w:val="en-US"/>
        </w:rPr>
      </w:pPr>
      <w:r w:rsidRPr="004A055E">
        <w:rPr>
          <w:color w:val="000000" w:themeColor="text1"/>
          <w:lang w:val="en-US"/>
        </w:rPr>
        <w:t>The National Planning and Policy Framework includes clear objectives for planning and health. A core planning principle (paragraph 93) states that: “planning policies and decisions should take into account and support the delivery of local strategies to improve health, social and cultural well-being for all sections of the community”.</w:t>
      </w:r>
      <w:r w:rsidRPr="004A055E">
        <w:rPr>
          <w:color w:val="000000" w:themeColor="text1"/>
          <w:vertAlign w:val="superscript"/>
          <w:lang w:val="en-US"/>
        </w:rPr>
        <w:endnoteReference w:id="4"/>
      </w:r>
    </w:p>
    <w:p w14:paraId="055A38A7" w14:textId="08D7830E" w:rsidR="001D0086" w:rsidRPr="004A055E" w:rsidRDefault="001D0086" w:rsidP="004A055E">
      <w:pPr>
        <w:rPr>
          <w:color w:val="000000" w:themeColor="text1"/>
          <w:lang w:val="en-US"/>
        </w:rPr>
      </w:pPr>
      <w:r w:rsidRPr="004A055E">
        <w:rPr>
          <w:color w:val="000000" w:themeColor="text1"/>
          <w:lang w:val="en-US"/>
        </w:rPr>
        <w:t>The London Plan 2021</w:t>
      </w:r>
      <w:r w:rsidRPr="004A055E">
        <w:rPr>
          <w:color w:val="000000" w:themeColor="text1"/>
          <w:vertAlign w:val="superscript"/>
          <w:lang w:val="en-US"/>
        </w:rPr>
        <w:endnoteReference w:id="5"/>
      </w:r>
      <w:r w:rsidRPr="004A055E">
        <w:rPr>
          <w:color w:val="000000" w:themeColor="text1"/>
          <w:lang w:val="en-US"/>
        </w:rPr>
        <w:t xml:space="preserve"> contains a London-wide policy to prevent new hot food takeaways from opening within 400 metres walking distance of an existing or proposed primary or secondary school (Policy E9, page 269, chapter 6). The plan also requires any permitted development involving hot food takeaways to be conditional upon the operator achieving and operating in compliance with the Healthier Catering Commitment Standard. Furthermore, the plan encourages boroughs to manage over-concentrations of activities including hot-food takeaways</w:t>
      </w:r>
      <w:r>
        <w:rPr>
          <w:rStyle w:val="EndnoteReference"/>
          <w:color w:val="000000" w:themeColor="text1"/>
          <w:lang w:val="en-US"/>
        </w:rPr>
        <w:endnoteReference w:id="6"/>
      </w:r>
      <w:r w:rsidR="000D57ED">
        <w:rPr>
          <w:color w:val="000000" w:themeColor="text1"/>
          <w:lang w:val="en-US"/>
        </w:rPr>
        <w:t>.</w:t>
      </w:r>
    </w:p>
    <w:p w14:paraId="6E40FFC1" w14:textId="77777777" w:rsidR="000D57ED" w:rsidRDefault="000D57ED" w:rsidP="004A055E">
      <w:pPr>
        <w:rPr>
          <w:color w:val="000000" w:themeColor="text1"/>
          <w:u w:val="single"/>
          <w:lang w:val="en-US"/>
        </w:rPr>
      </w:pPr>
    </w:p>
    <w:p w14:paraId="713C0D0C" w14:textId="4ECB747F" w:rsidR="001D0086" w:rsidRPr="004A055E" w:rsidRDefault="001D0086" w:rsidP="00DD389A">
      <w:pPr>
        <w:pStyle w:val="Heading2"/>
        <w:rPr>
          <w:lang w:val="en-US"/>
        </w:rPr>
      </w:pPr>
      <w:r w:rsidRPr="004A055E">
        <w:rPr>
          <w:lang w:val="en-US"/>
        </w:rPr>
        <w:t>1.2 Relevant Local Plan Policy</w:t>
      </w:r>
    </w:p>
    <w:p w14:paraId="27CD6FE9" w14:textId="77777777" w:rsidR="001D0086" w:rsidRPr="004A055E" w:rsidRDefault="001D0086" w:rsidP="004A055E"/>
    <w:p w14:paraId="0F4AFC83" w14:textId="77777777" w:rsidR="001D0086" w:rsidRPr="004A055E" w:rsidRDefault="001D0086" w:rsidP="004A055E">
      <w:pPr>
        <w:rPr>
          <w:lang w:val="en-US"/>
        </w:rPr>
      </w:pPr>
      <w:r w:rsidRPr="004A055E">
        <w:rPr>
          <w:lang w:val="en-US"/>
        </w:rPr>
        <w:t>Policy D.TC5 (Food, drink entertainment and the night-time economy) in the regulation 19 version of the Tower Hamlets Local Plan states (part 3):</w:t>
      </w:r>
    </w:p>
    <w:p w14:paraId="4AC5F047" w14:textId="77777777" w:rsidR="001D0086" w:rsidRPr="004A055E" w:rsidRDefault="001D0086" w:rsidP="004A055E">
      <w:pPr>
        <w:rPr>
          <w:i/>
          <w:lang w:val="en-US"/>
        </w:rPr>
      </w:pPr>
      <w:r w:rsidRPr="004A055E">
        <w:rPr>
          <w:i/>
          <w:lang w:val="en-US"/>
        </w:rPr>
        <w:t xml:space="preserve">“Development of hot food takeaways (use class A5) will only be supported within the Central Activities Zone, Tower Hamlets Activity Areas, Secondary Frontages of District </w:t>
      </w:r>
      <w:proofErr w:type="spellStart"/>
      <w:r w:rsidRPr="004A055E">
        <w:rPr>
          <w:i/>
          <w:lang w:val="en-US"/>
        </w:rPr>
        <w:t>Centres</w:t>
      </w:r>
      <w:proofErr w:type="spellEnd"/>
      <w:r w:rsidRPr="004A055E">
        <w:rPr>
          <w:i/>
          <w:lang w:val="en-US"/>
        </w:rPr>
        <w:t xml:space="preserve">, </w:t>
      </w:r>
      <w:proofErr w:type="spellStart"/>
      <w:r w:rsidRPr="004A055E">
        <w:rPr>
          <w:i/>
          <w:lang w:val="en-US"/>
        </w:rPr>
        <w:t>Neighbourhood</w:t>
      </w:r>
      <w:proofErr w:type="spellEnd"/>
      <w:r w:rsidRPr="004A055E">
        <w:rPr>
          <w:i/>
          <w:lang w:val="en-US"/>
        </w:rPr>
        <w:t xml:space="preserve"> </w:t>
      </w:r>
      <w:proofErr w:type="spellStart"/>
      <w:r w:rsidRPr="004A055E">
        <w:rPr>
          <w:i/>
          <w:lang w:val="en-US"/>
        </w:rPr>
        <w:t>Centres</w:t>
      </w:r>
      <w:proofErr w:type="spellEnd"/>
      <w:r w:rsidRPr="004A055E">
        <w:rPr>
          <w:i/>
          <w:lang w:val="en-US"/>
        </w:rPr>
        <w:t xml:space="preserve"> or </w:t>
      </w:r>
      <w:proofErr w:type="spellStart"/>
      <w:r w:rsidRPr="004A055E">
        <w:rPr>
          <w:i/>
          <w:lang w:val="en-US"/>
        </w:rPr>
        <w:t>Neighbourhood</w:t>
      </w:r>
      <w:proofErr w:type="spellEnd"/>
      <w:r w:rsidRPr="004A055E">
        <w:rPr>
          <w:i/>
          <w:lang w:val="en-US"/>
        </w:rPr>
        <w:t xml:space="preserve"> Parades where they meet the following criteria.</w:t>
      </w:r>
    </w:p>
    <w:p w14:paraId="269FA099" w14:textId="77777777" w:rsidR="001D0086" w:rsidRPr="004A055E" w:rsidRDefault="001D0086" w:rsidP="006E7A5D">
      <w:pPr>
        <w:numPr>
          <w:ilvl w:val="0"/>
          <w:numId w:val="1"/>
        </w:numPr>
        <w:rPr>
          <w:i/>
          <w:lang w:val="en-US"/>
        </w:rPr>
      </w:pPr>
      <w:r w:rsidRPr="004A055E">
        <w:rPr>
          <w:i/>
          <w:lang w:val="en-US"/>
        </w:rPr>
        <w:t>There must be a separation of at least four non-A5 units between each new hot food takeaway unit.</w:t>
      </w:r>
    </w:p>
    <w:p w14:paraId="54E0C806" w14:textId="77777777" w:rsidR="001D0086" w:rsidRPr="004A055E" w:rsidRDefault="001D0086" w:rsidP="006E7A5D">
      <w:pPr>
        <w:numPr>
          <w:ilvl w:val="0"/>
          <w:numId w:val="1"/>
        </w:numPr>
        <w:rPr>
          <w:i/>
          <w:lang w:val="en-US"/>
        </w:rPr>
      </w:pPr>
      <w:r w:rsidRPr="004A055E">
        <w:rPr>
          <w:i/>
          <w:lang w:val="en-US"/>
        </w:rPr>
        <w:t xml:space="preserve">The percentage of A5 units would not exceed 5% of the total number of units within Major, District or </w:t>
      </w:r>
      <w:proofErr w:type="spellStart"/>
      <w:r w:rsidRPr="004A055E">
        <w:rPr>
          <w:i/>
          <w:lang w:val="en-US"/>
        </w:rPr>
        <w:t>Neighbourhood</w:t>
      </w:r>
      <w:proofErr w:type="spellEnd"/>
      <w:r w:rsidRPr="004A055E">
        <w:rPr>
          <w:i/>
          <w:lang w:val="en-US"/>
        </w:rPr>
        <w:t xml:space="preserve"> </w:t>
      </w:r>
      <w:proofErr w:type="spellStart"/>
      <w:r w:rsidRPr="004A055E">
        <w:rPr>
          <w:i/>
          <w:lang w:val="en-US"/>
        </w:rPr>
        <w:t>Centres</w:t>
      </w:r>
      <w:proofErr w:type="spellEnd"/>
      <w:r w:rsidRPr="004A055E">
        <w:rPr>
          <w:i/>
          <w:lang w:val="en-US"/>
        </w:rPr>
        <w:t>.</w:t>
      </w:r>
    </w:p>
    <w:p w14:paraId="4E668218" w14:textId="77777777" w:rsidR="001D0086" w:rsidRPr="004A055E" w:rsidRDefault="001D0086" w:rsidP="006E7A5D">
      <w:pPr>
        <w:numPr>
          <w:ilvl w:val="0"/>
          <w:numId w:val="1"/>
        </w:numPr>
        <w:rPr>
          <w:i/>
          <w:lang w:val="en-US"/>
        </w:rPr>
      </w:pPr>
      <w:r w:rsidRPr="004A055E">
        <w:rPr>
          <w:i/>
          <w:lang w:val="en-US"/>
        </w:rPr>
        <w:t xml:space="preserve">Within </w:t>
      </w:r>
      <w:proofErr w:type="spellStart"/>
      <w:r w:rsidRPr="004A055E">
        <w:rPr>
          <w:i/>
          <w:lang w:val="en-US"/>
        </w:rPr>
        <w:t>Neighbourhood</w:t>
      </w:r>
      <w:proofErr w:type="spellEnd"/>
      <w:r w:rsidRPr="004A055E">
        <w:rPr>
          <w:i/>
          <w:lang w:val="en-US"/>
        </w:rPr>
        <w:t xml:space="preserve"> Parades there would be no more than one A5 unit.</w:t>
      </w:r>
    </w:p>
    <w:p w14:paraId="4D99AC7B" w14:textId="77777777" w:rsidR="001D0086" w:rsidRPr="004A055E" w:rsidRDefault="001D0086" w:rsidP="006E7A5D">
      <w:pPr>
        <w:numPr>
          <w:ilvl w:val="0"/>
          <w:numId w:val="1"/>
        </w:numPr>
        <w:rPr>
          <w:i/>
          <w:lang w:val="en-US"/>
        </w:rPr>
      </w:pPr>
      <w:r w:rsidRPr="004A055E">
        <w:rPr>
          <w:i/>
          <w:lang w:val="en-US"/>
        </w:rPr>
        <w:lastRenderedPageBreak/>
        <w:t xml:space="preserve">The proposal is not within 200 metres walking distance from an existing (or proposed) school and/or a local authority leisure </w:t>
      </w:r>
      <w:proofErr w:type="spellStart"/>
      <w:r w:rsidRPr="004A055E">
        <w:rPr>
          <w:i/>
          <w:lang w:val="en-US"/>
        </w:rPr>
        <w:t>centre</w:t>
      </w:r>
      <w:proofErr w:type="spellEnd"/>
      <w:r w:rsidRPr="004A055E">
        <w:rPr>
          <w:i/>
          <w:lang w:val="en-US"/>
        </w:rPr>
        <w:t>.</w:t>
      </w:r>
    </w:p>
    <w:p w14:paraId="1B7ADBC1" w14:textId="77777777" w:rsidR="001D0086" w:rsidRPr="004A055E" w:rsidRDefault="001D0086" w:rsidP="006E7A5D">
      <w:pPr>
        <w:numPr>
          <w:ilvl w:val="0"/>
          <w:numId w:val="1"/>
        </w:numPr>
        <w:rPr>
          <w:i/>
          <w:lang w:val="en-US"/>
        </w:rPr>
      </w:pPr>
      <w:r w:rsidRPr="004A055E">
        <w:rPr>
          <w:i/>
          <w:lang w:val="en-US"/>
        </w:rPr>
        <w:t>The proposal will not harm the amenity of surrounding properties</w:t>
      </w:r>
    </w:p>
    <w:p w14:paraId="534D3242" w14:textId="77777777" w:rsidR="001D0086" w:rsidRPr="004A055E" w:rsidRDefault="001D0086" w:rsidP="004A055E">
      <w:pPr>
        <w:ind w:left="360"/>
        <w:rPr>
          <w:i/>
          <w:lang w:val="en-US"/>
        </w:rPr>
      </w:pPr>
    </w:p>
    <w:p w14:paraId="538E0231" w14:textId="77777777" w:rsidR="001D0086" w:rsidRPr="004A055E" w:rsidRDefault="001D0086" w:rsidP="00DD389A">
      <w:pPr>
        <w:pStyle w:val="Heading2"/>
        <w:rPr>
          <w:lang w:val="en-US"/>
        </w:rPr>
      </w:pPr>
      <w:r w:rsidRPr="004A055E">
        <w:rPr>
          <w:lang w:val="en-US"/>
        </w:rPr>
        <w:t>1.3 Relevant Designations/allocations</w:t>
      </w:r>
    </w:p>
    <w:p w14:paraId="09F6E114" w14:textId="77777777" w:rsidR="001D0086" w:rsidRPr="004A055E" w:rsidRDefault="001D0086" w:rsidP="004A055E"/>
    <w:p w14:paraId="5F25767C" w14:textId="77777777" w:rsidR="001D0086" w:rsidRPr="004A055E" w:rsidRDefault="001D0086" w:rsidP="006E7A5D">
      <w:pPr>
        <w:numPr>
          <w:ilvl w:val="0"/>
          <w:numId w:val="5"/>
        </w:numPr>
        <w:contextualSpacing/>
        <w:rPr>
          <w:lang w:val="en-US"/>
        </w:rPr>
      </w:pPr>
      <w:r w:rsidRPr="004A055E">
        <w:rPr>
          <w:lang w:val="en-US"/>
        </w:rPr>
        <w:t xml:space="preserve">The town </w:t>
      </w:r>
      <w:proofErr w:type="spellStart"/>
      <w:r w:rsidRPr="004A055E">
        <w:rPr>
          <w:lang w:val="en-US"/>
        </w:rPr>
        <w:t>centres</w:t>
      </w:r>
      <w:proofErr w:type="spellEnd"/>
      <w:r w:rsidRPr="004A055E">
        <w:rPr>
          <w:lang w:val="en-US"/>
        </w:rPr>
        <w:t xml:space="preserve"> hierarchy – Central Activities Zone (CAZ), Tower Hamlets Activity areas (THAAs) and designated town </w:t>
      </w:r>
      <w:proofErr w:type="spellStart"/>
      <w:r w:rsidRPr="004A055E">
        <w:rPr>
          <w:lang w:val="en-US"/>
        </w:rPr>
        <w:t>centres</w:t>
      </w:r>
      <w:proofErr w:type="spellEnd"/>
    </w:p>
    <w:p w14:paraId="3B3F520E" w14:textId="77777777" w:rsidR="001D0086" w:rsidRPr="004A055E" w:rsidRDefault="001D0086" w:rsidP="006E7A5D">
      <w:pPr>
        <w:numPr>
          <w:ilvl w:val="0"/>
          <w:numId w:val="5"/>
        </w:numPr>
        <w:contextualSpacing/>
        <w:rPr>
          <w:lang w:val="en-US"/>
        </w:rPr>
      </w:pPr>
      <w:r w:rsidRPr="004A055E">
        <w:rPr>
          <w:lang w:val="en-US"/>
        </w:rPr>
        <w:t>Primary and secondary retail frontages</w:t>
      </w:r>
    </w:p>
    <w:p w14:paraId="073BC938" w14:textId="77777777" w:rsidR="001D0086" w:rsidRPr="004A055E" w:rsidRDefault="001D0086" w:rsidP="004A055E">
      <w:pPr>
        <w:ind w:left="720"/>
        <w:contextualSpacing/>
        <w:rPr>
          <w:lang w:val="en-US"/>
        </w:rPr>
      </w:pPr>
    </w:p>
    <w:p w14:paraId="1BA30C90" w14:textId="77777777" w:rsidR="001D0086" w:rsidRPr="004A055E" w:rsidRDefault="001D0086" w:rsidP="00DD389A">
      <w:pPr>
        <w:pStyle w:val="Heading2"/>
        <w:rPr>
          <w:lang w:val="en-US"/>
        </w:rPr>
      </w:pPr>
      <w:r w:rsidRPr="004A055E">
        <w:rPr>
          <w:lang w:val="en-US"/>
        </w:rPr>
        <w:t xml:space="preserve">1.4 Purpose of the Policy </w:t>
      </w:r>
    </w:p>
    <w:p w14:paraId="5925B206" w14:textId="77777777" w:rsidR="001D0086" w:rsidRPr="004A055E" w:rsidRDefault="001D0086" w:rsidP="004A055E"/>
    <w:p w14:paraId="162B757C" w14:textId="77777777" w:rsidR="001D0086" w:rsidRPr="004A055E" w:rsidRDefault="001D0086" w:rsidP="004A055E">
      <w:pPr>
        <w:spacing w:line="259" w:lineRule="auto"/>
        <w:rPr>
          <w:lang w:val="en-US"/>
        </w:rPr>
      </w:pPr>
      <w:r w:rsidRPr="004A055E">
        <w:rPr>
          <w:lang w:val="en-US"/>
        </w:rPr>
        <w:t>The policy seeks to define appropriate locations and concentrations for new takeaway premises and preventing these uses in other locations, including:</w:t>
      </w:r>
    </w:p>
    <w:p w14:paraId="1C46DFB4" w14:textId="77777777" w:rsidR="001D0086" w:rsidRPr="004A055E" w:rsidRDefault="001D0086" w:rsidP="006E7A5D">
      <w:pPr>
        <w:numPr>
          <w:ilvl w:val="0"/>
          <w:numId w:val="2"/>
        </w:numPr>
        <w:spacing w:line="259" w:lineRule="auto"/>
        <w:rPr>
          <w:lang w:val="en-US"/>
        </w:rPr>
      </w:pPr>
      <w:r w:rsidRPr="004A055E">
        <w:rPr>
          <w:lang w:val="en-US"/>
        </w:rPr>
        <w:t xml:space="preserve">Within 200 metres walking distance from an existing (or proposed) school and/or a local authority leisure </w:t>
      </w:r>
      <w:proofErr w:type="spellStart"/>
      <w:r w:rsidRPr="004A055E">
        <w:rPr>
          <w:lang w:val="en-US"/>
        </w:rPr>
        <w:t>centre</w:t>
      </w:r>
      <w:proofErr w:type="spellEnd"/>
      <w:r w:rsidRPr="004A055E">
        <w:rPr>
          <w:lang w:val="en-US"/>
        </w:rPr>
        <w:t>; and</w:t>
      </w:r>
    </w:p>
    <w:p w14:paraId="6600C512" w14:textId="77777777" w:rsidR="001D0086" w:rsidRPr="004A055E" w:rsidRDefault="001D0086" w:rsidP="006E7A5D">
      <w:pPr>
        <w:numPr>
          <w:ilvl w:val="0"/>
          <w:numId w:val="2"/>
        </w:numPr>
        <w:spacing w:line="259" w:lineRule="auto"/>
        <w:rPr>
          <w:lang w:val="en-US"/>
        </w:rPr>
      </w:pPr>
      <w:r w:rsidRPr="004A055E">
        <w:rPr>
          <w:lang w:val="en-US"/>
        </w:rPr>
        <w:t xml:space="preserve">Primary retail frontages within town </w:t>
      </w:r>
      <w:proofErr w:type="spellStart"/>
      <w:r w:rsidRPr="004A055E">
        <w:rPr>
          <w:lang w:val="en-US"/>
        </w:rPr>
        <w:t>centres</w:t>
      </w:r>
      <w:proofErr w:type="spellEnd"/>
      <w:r w:rsidRPr="004A055E">
        <w:rPr>
          <w:lang w:val="en-US"/>
        </w:rPr>
        <w:t>.</w:t>
      </w:r>
    </w:p>
    <w:p w14:paraId="469524B9" w14:textId="77777777" w:rsidR="001D0086" w:rsidRPr="004A055E" w:rsidRDefault="001D0086" w:rsidP="004A055E">
      <w:pPr>
        <w:spacing w:line="259" w:lineRule="auto"/>
        <w:rPr>
          <w:iCs/>
          <w:lang w:val="en-US"/>
        </w:rPr>
      </w:pPr>
      <w:r w:rsidRPr="004A055E">
        <w:rPr>
          <w:iCs/>
          <w:lang w:val="en-US"/>
        </w:rPr>
        <w:t xml:space="preserve">The GLA published the London Plan (2021) that included a Policy relating to no new hot food takeaways being permitted to open within 400 metres walking distance of an existing or proposed primary or secondary school. This Policy superseded the LBTH Local Plan (2020) Policy. </w:t>
      </w:r>
    </w:p>
    <w:p w14:paraId="62AE973C" w14:textId="77777777" w:rsidR="001D0086" w:rsidRPr="004A055E" w:rsidRDefault="001D0086" w:rsidP="004A055E">
      <w:pPr>
        <w:spacing w:line="259" w:lineRule="auto"/>
        <w:rPr>
          <w:iCs/>
          <w:lang w:val="en-US"/>
        </w:rPr>
      </w:pPr>
    </w:p>
    <w:p w14:paraId="5EECC451" w14:textId="77777777" w:rsidR="001D0086" w:rsidRPr="004A055E" w:rsidRDefault="001D0086" w:rsidP="00D40A4A">
      <w:pPr>
        <w:pStyle w:val="Heading2"/>
        <w:rPr>
          <w:lang w:val="en-US"/>
        </w:rPr>
      </w:pPr>
      <w:r w:rsidRPr="004A055E">
        <w:rPr>
          <w:lang w:val="en-US"/>
        </w:rPr>
        <w:t>1.5 Regulation 19 representation</w:t>
      </w:r>
    </w:p>
    <w:p w14:paraId="3C344A5E" w14:textId="77777777" w:rsidR="001D0086" w:rsidRPr="004A055E" w:rsidRDefault="001D0086" w:rsidP="004A055E">
      <w:pPr>
        <w:rPr>
          <w:lang w:val="en-US"/>
        </w:rPr>
      </w:pPr>
    </w:p>
    <w:p w14:paraId="3D15C40D" w14:textId="77777777" w:rsidR="001D0086" w:rsidRPr="004A055E" w:rsidRDefault="001D0086" w:rsidP="004A055E">
      <w:pPr>
        <w:rPr>
          <w:iCs/>
          <w:lang w:val="en-US"/>
        </w:rPr>
      </w:pPr>
      <w:r w:rsidRPr="004A055E">
        <w:rPr>
          <w:iCs/>
          <w:lang w:val="en-US"/>
        </w:rPr>
        <w:t>A summary of representations received on this issue during regulation 19 consultation included:</w:t>
      </w:r>
    </w:p>
    <w:p w14:paraId="070F00A4" w14:textId="77777777" w:rsidR="001D0086" w:rsidRPr="004A055E" w:rsidRDefault="001D0086" w:rsidP="006E7A5D">
      <w:pPr>
        <w:numPr>
          <w:ilvl w:val="0"/>
          <w:numId w:val="2"/>
        </w:numPr>
        <w:rPr>
          <w:iCs/>
          <w:lang w:val="en-US"/>
        </w:rPr>
      </w:pPr>
      <w:r w:rsidRPr="004A055E">
        <w:rPr>
          <w:iCs/>
          <w:lang w:val="en-US"/>
        </w:rPr>
        <w:t>it is unclear how refusing hot food takeaways within 200 metres of a school could be effective.</w:t>
      </w:r>
    </w:p>
    <w:p w14:paraId="659845DA" w14:textId="77777777" w:rsidR="001D0086" w:rsidRPr="004A055E" w:rsidRDefault="001D0086" w:rsidP="006E7A5D">
      <w:pPr>
        <w:numPr>
          <w:ilvl w:val="0"/>
          <w:numId w:val="2"/>
        </w:numPr>
        <w:rPr>
          <w:iCs/>
          <w:lang w:val="en-US"/>
        </w:rPr>
      </w:pPr>
      <w:r w:rsidRPr="004A055E">
        <w:rPr>
          <w:iCs/>
          <w:lang w:val="en-US"/>
        </w:rPr>
        <w:t>the planning system is ineffective in distinguishing between uses that are healthy and those that are not. Some takeaways are not unhealthy; and</w:t>
      </w:r>
    </w:p>
    <w:p w14:paraId="1DBCB7D4" w14:textId="77777777" w:rsidR="001D0086" w:rsidRPr="004A055E" w:rsidRDefault="001D0086" w:rsidP="006E7A5D">
      <w:pPr>
        <w:numPr>
          <w:ilvl w:val="0"/>
          <w:numId w:val="2"/>
        </w:numPr>
        <w:rPr>
          <w:iCs/>
          <w:lang w:val="en-US"/>
        </w:rPr>
      </w:pPr>
      <w:r w:rsidRPr="004A055E">
        <w:rPr>
          <w:iCs/>
          <w:lang w:val="en-US"/>
        </w:rPr>
        <w:t xml:space="preserve">the National Planning Policy Framework (NPPF) is not concerned with dietary issues. It identifies hot food takeaways as main town </w:t>
      </w:r>
      <w:proofErr w:type="spellStart"/>
      <w:r w:rsidRPr="004A055E">
        <w:rPr>
          <w:iCs/>
          <w:lang w:val="en-US"/>
        </w:rPr>
        <w:t>centre</w:t>
      </w:r>
      <w:proofErr w:type="spellEnd"/>
      <w:r w:rsidRPr="004A055E">
        <w:rPr>
          <w:iCs/>
          <w:lang w:val="en-US"/>
        </w:rPr>
        <w:t xml:space="preserve"> use that should </w:t>
      </w:r>
      <w:proofErr w:type="gramStart"/>
      <w:r w:rsidRPr="004A055E">
        <w:rPr>
          <w:iCs/>
          <w:lang w:val="en-US"/>
        </w:rPr>
        <w:t>be located in</w:t>
      </w:r>
      <w:proofErr w:type="gramEnd"/>
      <w:r w:rsidRPr="004A055E">
        <w:rPr>
          <w:iCs/>
          <w:lang w:val="en-US"/>
        </w:rPr>
        <w:t xml:space="preserve"> town </w:t>
      </w:r>
      <w:proofErr w:type="spellStart"/>
      <w:r w:rsidRPr="004A055E">
        <w:rPr>
          <w:iCs/>
          <w:lang w:val="en-US"/>
        </w:rPr>
        <w:t>centres</w:t>
      </w:r>
      <w:proofErr w:type="spellEnd"/>
      <w:r w:rsidRPr="004A055E">
        <w:rPr>
          <w:iCs/>
          <w:lang w:val="en-US"/>
        </w:rPr>
        <w:t xml:space="preserve"> or in the next most accessible location based on need.</w:t>
      </w:r>
    </w:p>
    <w:p w14:paraId="6BE50E9D" w14:textId="77777777" w:rsidR="001D0086" w:rsidRPr="004A055E" w:rsidRDefault="001D0086" w:rsidP="004A055E">
      <w:pPr>
        <w:rPr>
          <w:lang w:val="en-US"/>
        </w:rPr>
      </w:pPr>
    </w:p>
    <w:p w14:paraId="4D6E8BA1" w14:textId="77777777" w:rsidR="001D0086" w:rsidRPr="004A055E" w:rsidRDefault="001D0086" w:rsidP="004A055E">
      <w:pPr>
        <w:rPr>
          <w:lang w:val="en-US"/>
        </w:rPr>
      </w:pPr>
      <w:r w:rsidRPr="004A055E">
        <w:rPr>
          <w:lang w:val="en-US"/>
        </w:rPr>
        <w:t xml:space="preserve">Following submission of public health evidence - that is outlined below - as well as public health provide evidence at examination in public by the independent planning inspectorate, it was deemed this policy should be supported and encouraged within the current Local Plan. </w:t>
      </w:r>
    </w:p>
    <w:p w14:paraId="24EF7D3A" w14:textId="77777777" w:rsidR="001D0086" w:rsidRPr="004A055E" w:rsidRDefault="001D0086" w:rsidP="004A055E">
      <w:pPr>
        <w:rPr>
          <w:lang w:val="en-US"/>
        </w:rPr>
      </w:pPr>
    </w:p>
    <w:p w14:paraId="12A3D677" w14:textId="77777777" w:rsidR="001D0086" w:rsidRPr="004A055E" w:rsidRDefault="001D0086" w:rsidP="004A055E">
      <w:pPr>
        <w:jc w:val="center"/>
        <w:rPr>
          <w:lang w:val="en-US"/>
        </w:rPr>
      </w:pPr>
      <w:r w:rsidRPr="004A055E">
        <w:rPr>
          <w:noProof/>
        </w:rPr>
        <w:drawing>
          <wp:inline distT="0" distB="0" distL="0" distR="0" wp14:anchorId="05A506F1" wp14:editId="0FF355E4">
            <wp:extent cx="4147272" cy="2940431"/>
            <wp:effectExtent l="0" t="0" r="5715" b="0"/>
            <wp:docPr id="5" name="Picture 5" descr="A map of Tower hamlets showing takeaways in the borough and schools. Each school is surrounded by a blue-shaded circle showing a 400m radius to the school. The borough is almost fully coloured in blue as a result of thi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Tower hamlets showing takeaways in the borough and schools. Each school is surrounded by a blue-shaded circle showing a 400m radius to the school. The borough is almost fully coloured in blue as a result of this map."/>
                    <pic:cNvPicPr/>
                  </pic:nvPicPr>
                  <pic:blipFill rotWithShape="1">
                    <a:blip r:embed="rId18"/>
                    <a:srcRect l="13913" t="4539" r="13722" b="4245"/>
                    <a:stretch/>
                  </pic:blipFill>
                  <pic:spPr bwMode="auto">
                    <a:xfrm>
                      <a:off x="0" y="0"/>
                      <a:ext cx="4147647" cy="2940697"/>
                    </a:xfrm>
                    <a:prstGeom prst="rect">
                      <a:avLst/>
                    </a:prstGeom>
                    <a:ln>
                      <a:noFill/>
                    </a:ln>
                    <a:extLst>
                      <a:ext uri="{53640926-AAD7-44D8-BBD7-CCE9431645EC}">
                        <a14:shadowObscured xmlns:a14="http://schemas.microsoft.com/office/drawing/2010/main"/>
                      </a:ext>
                    </a:extLst>
                  </pic:spPr>
                </pic:pic>
              </a:graphicData>
            </a:graphic>
          </wp:inline>
        </w:drawing>
      </w:r>
    </w:p>
    <w:p w14:paraId="32675625" w14:textId="77777777" w:rsidR="001D0086" w:rsidRPr="004A055E" w:rsidRDefault="001D0086" w:rsidP="004A055E">
      <w:pPr>
        <w:jc w:val="center"/>
        <w:rPr>
          <w:b/>
          <w:bCs/>
          <w:sz w:val="20"/>
          <w:szCs w:val="20"/>
          <w:lang w:val="en-US"/>
        </w:rPr>
      </w:pPr>
      <w:r w:rsidRPr="004A055E">
        <w:rPr>
          <w:b/>
          <w:bCs/>
          <w:sz w:val="20"/>
          <w:szCs w:val="20"/>
          <w:lang w:val="en-US"/>
        </w:rPr>
        <w:t xml:space="preserve">Figure 1: Schools in Tower Hamlets and </w:t>
      </w:r>
      <w:proofErr w:type="spellStart"/>
      <w:r w:rsidRPr="004A055E">
        <w:rPr>
          <w:b/>
          <w:bCs/>
          <w:sz w:val="20"/>
          <w:szCs w:val="20"/>
          <w:lang w:val="en-US"/>
        </w:rPr>
        <w:t>neighbouring</w:t>
      </w:r>
      <w:proofErr w:type="spellEnd"/>
      <w:r w:rsidRPr="004A055E">
        <w:rPr>
          <w:b/>
          <w:bCs/>
          <w:sz w:val="20"/>
          <w:szCs w:val="20"/>
          <w:lang w:val="en-US"/>
        </w:rPr>
        <w:t xml:space="preserve"> Boroughs with a </w:t>
      </w:r>
      <w:proofErr w:type="gramStart"/>
      <w:r w:rsidRPr="004A055E">
        <w:rPr>
          <w:b/>
          <w:bCs/>
          <w:sz w:val="20"/>
          <w:szCs w:val="20"/>
          <w:lang w:val="en-US"/>
        </w:rPr>
        <w:t>400 buffer</w:t>
      </w:r>
      <w:proofErr w:type="gramEnd"/>
      <w:r w:rsidRPr="004A055E">
        <w:rPr>
          <w:b/>
          <w:bCs/>
          <w:sz w:val="20"/>
          <w:szCs w:val="20"/>
          <w:lang w:val="en-US"/>
        </w:rPr>
        <w:t xml:space="preserve"> zone around them, with all hot food takeaways highlighted. </w:t>
      </w:r>
    </w:p>
    <w:p w14:paraId="416084C9" w14:textId="77777777" w:rsidR="001D0086" w:rsidRPr="004A055E" w:rsidRDefault="001D0086" w:rsidP="004A055E">
      <w:pPr>
        <w:rPr>
          <w:lang w:val="en-US"/>
        </w:rPr>
      </w:pPr>
    </w:p>
    <w:p w14:paraId="2ED2E777" w14:textId="77777777" w:rsidR="001D0086" w:rsidRPr="004A055E" w:rsidRDefault="001D0086" w:rsidP="00D40A4A">
      <w:pPr>
        <w:pStyle w:val="Heading2"/>
        <w:rPr>
          <w:lang w:val="en-US"/>
        </w:rPr>
      </w:pPr>
      <w:r w:rsidRPr="004A055E">
        <w:rPr>
          <w:lang w:val="en-US"/>
        </w:rPr>
        <w:t>1.6 Reason for approach to control the over proliferation of new hot food takeaways</w:t>
      </w:r>
    </w:p>
    <w:p w14:paraId="6C068EE7" w14:textId="77777777" w:rsidR="001D0086" w:rsidRPr="004A055E" w:rsidRDefault="001D0086" w:rsidP="004A055E">
      <w:pPr>
        <w:rPr>
          <w:lang w:val="en-US"/>
        </w:rPr>
      </w:pPr>
    </w:p>
    <w:p w14:paraId="52A5297B" w14:textId="77777777" w:rsidR="001D0086" w:rsidRPr="004A055E" w:rsidRDefault="001D0086" w:rsidP="004A055E">
      <w:pPr>
        <w:rPr>
          <w:lang w:val="en-US"/>
        </w:rPr>
      </w:pPr>
      <w:r w:rsidRPr="004A055E">
        <w:rPr>
          <w:lang w:val="en-US"/>
        </w:rPr>
        <w:t xml:space="preserve">The approach taken to control the over proliferation of new hot food takeaways has developed </w:t>
      </w:r>
      <w:proofErr w:type="gramStart"/>
      <w:r w:rsidRPr="004A055E">
        <w:rPr>
          <w:lang w:val="en-US"/>
        </w:rPr>
        <w:t>in light of</w:t>
      </w:r>
      <w:proofErr w:type="gramEnd"/>
      <w:r w:rsidRPr="004A055E">
        <w:rPr>
          <w:lang w:val="en-US"/>
        </w:rPr>
        <w:t xml:space="preserve"> increasing concerns of residents, politicians and health professionals regarding the overconcentration of takeaways in the borough, especially where they tempt younger residents to consume unhealthy foods that are high in fat, salt and sugar. There is also strengthening national and local evidence base and revised planning policy guidance relating to this issue.</w:t>
      </w:r>
    </w:p>
    <w:p w14:paraId="25352D60" w14:textId="77777777" w:rsidR="001D0086" w:rsidRPr="004A055E" w:rsidRDefault="001D0086" w:rsidP="004A055E">
      <w:pPr>
        <w:rPr>
          <w:lang w:val="en-US"/>
        </w:rPr>
      </w:pPr>
      <w:r w:rsidRPr="004A055E">
        <w:rPr>
          <w:lang w:val="en-US"/>
        </w:rPr>
        <w:t xml:space="preserve">These policies form part of the council’s overarching strategy to tackle the borough’s healthy weight and food poverty problems. They aim to prevent hot food takeaways developing in areas disproportionately frequented by children (i.e., </w:t>
      </w:r>
      <w:proofErr w:type="gramStart"/>
      <w:r w:rsidRPr="004A055E">
        <w:rPr>
          <w:lang w:val="en-US"/>
        </w:rPr>
        <w:t>in close proximity to</w:t>
      </w:r>
      <w:proofErr w:type="gramEnd"/>
      <w:r w:rsidRPr="004A055E">
        <w:rPr>
          <w:lang w:val="en-US"/>
        </w:rPr>
        <w:t xml:space="preserve"> schools and local authority leisure </w:t>
      </w:r>
      <w:proofErr w:type="spellStart"/>
      <w:r w:rsidRPr="004A055E">
        <w:rPr>
          <w:lang w:val="en-US"/>
        </w:rPr>
        <w:t>centres</w:t>
      </w:r>
      <w:proofErr w:type="spellEnd"/>
      <w:r w:rsidRPr="004A055E">
        <w:rPr>
          <w:lang w:val="en-US"/>
        </w:rPr>
        <w:t xml:space="preserve">). Similarly, by ensuring a balance of takeaways within our designated </w:t>
      </w:r>
      <w:proofErr w:type="spellStart"/>
      <w:r w:rsidRPr="004A055E">
        <w:rPr>
          <w:lang w:val="en-US"/>
        </w:rPr>
        <w:t>centres</w:t>
      </w:r>
      <w:proofErr w:type="spellEnd"/>
      <w:r w:rsidRPr="004A055E">
        <w:rPr>
          <w:lang w:val="en-US"/>
        </w:rPr>
        <w:t>, the policy seeks to promote and protect healthy choices and retain the economic diversity of the borough, as well as protecting the attractiveness, vitality, and character of primary frontages.</w:t>
      </w:r>
    </w:p>
    <w:p w14:paraId="041A7F9D" w14:textId="77777777" w:rsidR="001D0086" w:rsidRPr="004A055E" w:rsidRDefault="001D0086" w:rsidP="004A055E">
      <w:pPr>
        <w:rPr>
          <w:lang w:val="en-US"/>
        </w:rPr>
      </w:pPr>
      <w:r w:rsidRPr="004A055E">
        <w:rPr>
          <w:lang w:val="en-US"/>
        </w:rPr>
        <w:t xml:space="preserve">There is a deviation from the London Plan policy for a 400-metre school buffer. The 200 </w:t>
      </w:r>
      <w:proofErr w:type="spellStart"/>
      <w:r w:rsidRPr="004A055E">
        <w:rPr>
          <w:lang w:val="en-US"/>
        </w:rPr>
        <w:t>metre</w:t>
      </w:r>
      <w:proofErr w:type="spellEnd"/>
      <w:r w:rsidRPr="004A055E">
        <w:rPr>
          <w:lang w:val="en-US"/>
        </w:rPr>
        <w:t xml:space="preserve"> was applied in Tower Hamlets given the high level of population and development density in Tower Hamlets. The application of a 400-metre protection zone to all schools would have left very little land outside this exclusion zone (the 400-metre exclusion zone covers 82% of the borough. The London Plan (2021) Policy supersedes the Tower Hamlets Local Plan Policy, therefore there cannot be a new hot food takeaway within 400m of an existing or proposed primary or secondary school.</w:t>
      </w:r>
    </w:p>
    <w:p w14:paraId="079E654F" w14:textId="77777777" w:rsidR="001D0086" w:rsidRPr="004A055E" w:rsidRDefault="001D0086" w:rsidP="004A055E">
      <w:pPr>
        <w:rPr>
          <w:lang w:val="en-US"/>
        </w:rPr>
      </w:pPr>
      <w:r w:rsidRPr="004A055E">
        <w:rPr>
          <w:lang w:val="en-US"/>
        </w:rPr>
        <w:lastRenderedPageBreak/>
        <w:t xml:space="preserve">Please note: ‘local authority leisure </w:t>
      </w:r>
      <w:proofErr w:type="spellStart"/>
      <w:r w:rsidRPr="004A055E">
        <w:rPr>
          <w:lang w:val="en-US"/>
        </w:rPr>
        <w:t>centres’</w:t>
      </w:r>
      <w:proofErr w:type="spellEnd"/>
      <w:r w:rsidRPr="004A055E">
        <w:rPr>
          <w:lang w:val="en-US"/>
        </w:rPr>
        <w:t xml:space="preserve"> refers to those listed on the council website that are currently managed by a charitable social enterprise (‘Better’).</w:t>
      </w:r>
    </w:p>
    <w:p w14:paraId="62A12ECF" w14:textId="77777777" w:rsidR="001D0086" w:rsidRPr="004A055E" w:rsidRDefault="001D0086" w:rsidP="004A055E">
      <w:pPr>
        <w:rPr>
          <w:lang w:val="en-US"/>
        </w:rPr>
      </w:pPr>
      <w:r w:rsidRPr="004A055E">
        <w:rPr>
          <w:lang w:val="en-US"/>
        </w:rPr>
        <w:t>Regarding issues relating to the relative ‘health’ of hot food takeaways, while it is accepted that not all hot food takeaways sell unhealthy food, it is considered that there is no guarantee that a healthy business model would continue into the future under a sui generis hot food takeaway use class and that it is not an unreasonable prospect that pressures on the business could lead to a change in the nature of the food sold despite the current best intentions of the appellant. A similar position was reached by a planning inspector at a recent appeal</w:t>
      </w:r>
      <w:r w:rsidRPr="004A055E">
        <w:rPr>
          <w:vertAlign w:val="superscript"/>
          <w:lang w:val="en-US"/>
        </w:rPr>
        <w:endnoteReference w:id="7"/>
      </w:r>
      <w:r w:rsidRPr="004A055E">
        <w:rPr>
          <w:lang w:val="en-US"/>
        </w:rPr>
        <w:t>.</w:t>
      </w:r>
    </w:p>
    <w:p w14:paraId="5C8DB45B" w14:textId="77777777" w:rsidR="001D0086" w:rsidRPr="004A055E" w:rsidRDefault="001D0086" w:rsidP="004A055E">
      <w:pPr>
        <w:rPr>
          <w:color w:val="000000" w:themeColor="text1"/>
          <w:lang w:val="en-US"/>
        </w:rPr>
      </w:pPr>
    </w:p>
    <w:p w14:paraId="434CFC3F" w14:textId="77777777" w:rsidR="001D0086" w:rsidRPr="004A055E" w:rsidRDefault="001D0086" w:rsidP="00D40A4A">
      <w:pPr>
        <w:pStyle w:val="Heading2"/>
        <w:rPr>
          <w:lang w:val="en-US"/>
        </w:rPr>
      </w:pPr>
      <w:r w:rsidRPr="004A055E">
        <w:rPr>
          <w:lang w:val="en-US"/>
        </w:rPr>
        <w:t xml:space="preserve">1.7 Findings from the Policy Analysis (Policy D.TC5): Reviewing HFT planning applications of the current </w:t>
      </w:r>
    </w:p>
    <w:p w14:paraId="7B75DA05" w14:textId="77777777" w:rsidR="001D0086" w:rsidRPr="004A055E" w:rsidRDefault="001D0086" w:rsidP="00C2210C">
      <w:pPr>
        <w:rPr>
          <w:lang w:val="en-US"/>
        </w:rPr>
      </w:pPr>
    </w:p>
    <w:p w14:paraId="7339E98D" w14:textId="77777777" w:rsidR="001D0086" w:rsidRPr="004A055E" w:rsidRDefault="001D0086" w:rsidP="004A055E">
      <w:pPr>
        <w:rPr>
          <w:lang w:val="en-US"/>
        </w:rPr>
      </w:pPr>
      <w:r w:rsidRPr="004A055E">
        <w:rPr>
          <w:lang w:val="en-US"/>
        </w:rPr>
        <w:t>A policy analysis was conducted in 2022 to review progress against Policy D.TC5</w:t>
      </w:r>
      <w:r w:rsidRPr="004A055E">
        <w:t xml:space="preserve"> </w:t>
      </w:r>
      <w:r w:rsidRPr="004A055E">
        <w:rPr>
          <w:lang w:val="en-US"/>
        </w:rPr>
        <w:t xml:space="preserve">with specific consideration for the proposal not being within 200 metres walking distance from an existing (or proposed) school and/or a local authority leisure </w:t>
      </w:r>
      <w:proofErr w:type="spellStart"/>
      <w:r w:rsidRPr="004A055E">
        <w:rPr>
          <w:lang w:val="en-US"/>
        </w:rPr>
        <w:t>centre</w:t>
      </w:r>
      <w:proofErr w:type="spellEnd"/>
      <w:r w:rsidRPr="004A055E">
        <w:rPr>
          <w:lang w:val="en-US"/>
        </w:rPr>
        <w:t xml:space="preserve">. It should be noted that despite the local plan only being formerly adopted in 2021, the policies in draft form should be considered as an approved policy unless advised otherwise, therefore Policy D.TC5 was being applied from 2019. </w:t>
      </w:r>
    </w:p>
    <w:p w14:paraId="0FC1AA41" w14:textId="77777777" w:rsidR="001D0086" w:rsidRPr="004A055E" w:rsidRDefault="001D0086" w:rsidP="00C2210C">
      <w:pPr>
        <w:rPr>
          <w:lang w:val="en-US"/>
        </w:rPr>
      </w:pPr>
      <w:r w:rsidRPr="004A055E">
        <w:rPr>
          <w:lang w:val="en-US"/>
        </w:rPr>
        <w:t xml:space="preserve"> </w:t>
      </w:r>
    </w:p>
    <w:tbl>
      <w:tblPr>
        <w:tblStyle w:val="GridTable4-Accent1"/>
        <w:tblW w:w="0" w:type="auto"/>
        <w:tblLook w:val="04A0" w:firstRow="1" w:lastRow="0" w:firstColumn="1" w:lastColumn="0" w:noHBand="0" w:noVBand="1"/>
      </w:tblPr>
      <w:tblGrid>
        <w:gridCol w:w="1809"/>
        <w:gridCol w:w="2018"/>
        <w:gridCol w:w="1790"/>
        <w:gridCol w:w="1681"/>
        <w:gridCol w:w="1718"/>
      </w:tblGrid>
      <w:tr w:rsidR="001D0086" w:rsidRPr="004A055E" w14:paraId="09CB6B9D" w14:textId="77777777" w:rsidTr="007B4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13AD45F9" w14:textId="77777777" w:rsidR="001D0086" w:rsidRPr="004A055E" w:rsidRDefault="001D0086" w:rsidP="004A055E"/>
        </w:tc>
        <w:tc>
          <w:tcPr>
            <w:tcW w:w="2789" w:type="dxa"/>
          </w:tcPr>
          <w:p w14:paraId="79622A6F" w14:textId="77777777" w:rsidR="001D0086" w:rsidRPr="004A055E" w:rsidRDefault="001D0086" w:rsidP="004A055E">
            <w:pPr>
              <w:cnfStyle w:val="100000000000" w:firstRow="1" w:lastRow="0" w:firstColumn="0" w:lastColumn="0" w:oddVBand="0" w:evenVBand="0" w:oddHBand="0" w:evenHBand="0" w:firstRowFirstColumn="0" w:firstRowLastColumn="0" w:lastRowFirstColumn="0" w:lastRowLastColumn="0"/>
            </w:pPr>
            <w:r w:rsidRPr="004A055E">
              <w:t>All HFT Applications</w:t>
            </w:r>
          </w:p>
        </w:tc>
        <w:tc>
          <w:tcPr>
            <w:tcW w:w="2790" w:type="dxa"/>
          </w:tcPr>
          <w:p w14:paraId="4602E161" w14:textId="77777777" w:rsidR="001D0086" w:rsidRPr="004A055E" w:rsidRDefault="001D0086" w:rsidP="004A055E">
            <w:pPr>
              <w:cnfStyle w:val="100000000000" w:firstRow="1" w:lastRow="0" w:firstColumn="0" w:lastColumn="0" w:oddVBand="0" w:evenVBand="0" w:oddHBand="0" w:evenHBand="0" w:firstRowFirstColumn="0" w:firstRowLastColumn="0" w:lastRowFirstColumn="0" w:lastRowLastColumn="0"/>
            </w:pPr>
            <w:r w:rsidRPr="004A055E">
              <w:t>Permitted</w:t>
            </w:r>
          </w:p>
        </w:tc>
        <w:tc>
          <w:tcPr>
            <w:tcW w:w="2790" w:type="dxa"/>
          </w:tcPr>
          <w:p w14:paraId="778D2638" w14:textId="77777777" w:rsidR="001D0086" w:rsidRPr="004A055E" w:rsidRDefault="001D0086" w:rsidP="004A055E">
            <w:pPr>
              <w:cnfStyle w:val="100000000000" w:firstRow="1" w:lastRow="0" w:firstColumn="0" w:lastColumn="0" w:oddVBand="0" w:evenVBand="0" w:oddHBand="0" w:evenHBand="0" w:firstRowFirstColumn="0" w:firstRowLastColumn="0" w:lastRowFirstColumn="0" w:lastRowLastColumn="0"/>
            </w:pPr>
            <w:r w:rsidRPr="004A055E">
              <w:t>Refused</w:t>
            </w:r>
          </w:p>
        </w:tc>
        <w:tc>
          <w:tcPr>
            <w:tcW w:w="2790" w:type="dxa"/>
          </w:tcPr>
          <w:p w14:paraId="7D002654" w14:textId="77777777" w:rsidR="001D0086" w:rsidRPr="004A055E" w:rsidRDefault="001D0086" w:rsidP="004A055E">
            <w:pPr>
              <w:cnfStyle w:val="100000000000" w:firstRow="1" w:lastRow="0" w:firstColumn="0" w:lastColumn="0" w:oddVBand="0" w:evenVBand="0" w:oddHBand="0" w:evenHBand="0" w:firstRowFirstColumn="0" w:firstRowLastColumn="0" w:lastRowFirstColumn="0" w:lastRowLastColumn="0"/>
            </w:pPr>
            <w:r w:rsidRPr="004A055E">
              <w:t>No Decision Yet</w:t>
            </w:r>
          </w:p>
        </w:tc>
      </w:tr>
      <w:tr w:rsidR="001D0086" w:rsidRPr="004A055E" w14:paraId="59F8AF54" w14:textId="77777777" w:rsidTr="007B4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5BEC2CB1" w14:textId="77777777" w:rsidR="001D0086" w:rsidRPr="004A055E" w:rsidRDefault="001D0086" w:rsidP="004A055E">
            <w:r w:rsidRPr="004A055E">
              <w:t>2019/2020</w:t>
            </w:r>
          </w:p>
        </w:tc>
        <w:tc>
          <w:tcPr>
            <w:tcW w:w="2789" w:type="dxa"/>
          </w:tcPr>
          <w:p w14:paraId="0E7B6728" w14:textId="77777777" w:rsidR="001D0086" w:rsidRPr="004A055E" w:rsidRDefault="001D0086" w:rsidP="004A055E">
            <w:pPr>
              <w:cnfStyle w:val="000000100000" w:firstRow="0" w:lastRow="0" w:firstColumn="0" w:lastColumn="0" w:oddVBand="0" w:evenVBand="0" w:oddHBand="1" w:evenHBand="0" w:firstRowFirstColumn="0" w:firstRowLastColumn="0" w:lastRowFirstColumn="0" w:lastRowLastColumn="0"/>
            </w:pPr>
            <w:r w:rsidRPr="004A055E">
              <w:t>12</w:t>
            </w:r>
          </w:p>
        </w:tc>
        <w:tc>
          <w:tcPr>
            <w:tcW w:w="2790" w:type="dxa"/>
          </w:tcPr>
          <w:p w14:paraId="2F312FBE" w14:textId="77777777" w:rsidR="001D0086" w:rsidRPr="004A055E" w:rsidRDefault="001D0086" w:rsidP="004A055E">
            <w:pPr>
              <w:cnfStyle w:val="000000100000" w:firstRow="0" w:lastRow="0" w:firstColumn="0" w:lastColumn="0" w:oddVBand="0" w:evenVBand="0" w:oddHBand="1" w:evenHBand="0" w:firstRowFirstColumn="0" w:firstRowLastColumn="0" w:lastRowFirstColumn="0" w:lastRowLastColumn="0"/>
            </w:pPr>
            <w:r w:rsidRPr="004A055E">
              <w:t>5</w:t>
            </w:r>
          </w:p>
        </w:tc>
        <w:tc>
          <w:tcPr>
            <w:tcW w:w="2790" w:type="dxa"/>
          </w:tcPr>
          <w:p w14:paraId="0D014712" w14:textId="77777777" w:rsidR="001D0086" w:rsidRPr="004A055E" w:rsidRDefault="001D0086" w:rsidP="004A055E">
            <w:pPr>
              <w:cnfStyle w:val="000000100000" w:firstRow="0" w:lastRow="0" w:firstColumn="0" w:lastColumn="0" w:oddVBand="0" w:evenVBand="0" w:oddHBand="1" w:evenHBand="0" w:firstRowFirstColumn="0" w:firstRowLastColumn="0" w:lastRowFirstColumn="0" w:lastRowLastColumn="0"/>
            </w:pPr>
            <w:r w:rsidRPr="004A055E">
              <w:t>6</w:t>
            </w:r>
          </w:p>
        </w:tc>
        <w:tc>
          <w:tcPr>
            <w:tcW w:w="2790" w:type="dxa"/>
          </w:tcPr>
          <w:p w14:paraId="0510361D" w14:textId="77777777" w:rsidR="001D0086" w:rsidRPr="004A055E" w:rsidRDefault="001D0086" w:rsidP="004A055E">
            <w:pPr>
              <w:cnfStyle w:val="000000100000" w:firstRow="0" w:lastRow="0" w:firstColumn="0" w:lastColumn="0" w:oddVBand="0" w:evenVBand="0" w:oddHBand="1" w:evenHBand="0" w:firstRowFirstColumn="0" w:firstRowLastColumn="0" w:lastRowFirstColumn="0" w:lastRowLastColumn="0"/>
            </w:pPr>
            <w:r w:rsidRPr="004A055E">
              <w:t>1</w:t>
            </w:r>
          </w:p>
        </w:tc>
      </w:tr>
      <w:tr w:rsidR="001D0086" w:rsidRPr="004A055E" w14:paraId="598E5D81" w14:textId="77777777" w:rsidTr="007B435D">
        <w:tc>
          <w:tcPr>
            <w:cnfStyle w:val="001000000000" w:firstRow="0" w:lastRow="0" w:firstColumn="1" w:lastColumn="0" w:oddVBand="0" w:evenVBand="0" w:oddHBand="0" w:evenHBand="0" w:firstRowFirstColumn="0" w:firstRowLastColumn="0" w:lastRowFirstColumn="0" w:lastRowLastColumn="0"/>
            <w:tcW w:w="2789" w:type="dxa"/>
          </w:tcPr>
          <w:p w14:paraId="346B1D95" w14:textId="77777777" w:rsidR="001D0086" w:rsidRPr="004A055E" w:rsidRDefault="001D0086" w:rsidP="004A055E">
            <w:r w:rsidRPr="004A055E">
              <w:t>2020/2021</w:t>
            </w:r>
          </w:p>
        </w:tc>
        <w:tc>
          <w:tcPr>
            <w:tcW w:w="2789" w:type="dxa"/>
          </w:tcPr>
          <w:p w14:paraId="0C5A9E78" w14:textId="77777777" w:rsidR="001D0086" w:rsidRPr="004A055E" w:rsidRDefault="001D0086" w:rsidP="004A055E">
            <w:pPr>
              <w:cnfStyle w:val="000000000000" w:firstRow="0" w:lastRow="0" w:firstColumn="0" w:lastColumn="0" w:oddVBand="0" w:evenVBand="0" w:oddHBand="0" w:evenHBand="0" w:firstRowFirstColumn="0" w:firstRowLastColumn="0" w:lastRowFirstColumn="0" w:lastRowLastColumn="0"/>
            </w:pPr>
            <w:r w:rsidRPr="004A055E">
              <w:t>4</w:t>
            </w:r>
          </w:p>
        </w:tc>
        <w:tc>
          <w:tcPr>
            <w:tcW w:w="2790" w:type="dxa"/>
          </w:tcPr>
          <w:p w14:paraId="0B7E240F" w14:textId="77777777" w:rsidR="001D0086" w:rsidRPr="004A055E" w:rsidRDefault="001D0086" w:rsidP="004A055E">
            <w:pPr>
              <w:cnfStyle w:val="000000000000" w:firstRow="0" w:lastRow="0" w:firstColumn="0" w:lastColumn="0" w:oddVBand="0" w:evenVBand="0" w:oddHBand="0" w:evenHBand="0" w:firstRowFirstColumn="0" w:firstRowLastColumn="0" w:lastRowFirstColumn="0" w:lastRowLastColumn="0"/>
            </w:pPr>
            <w:r w:rsidRPr="004A055E">
              <w:t>0</w:t>
            </w:r>
          </w:p>
        </w:tc>
        <w:tc>
          <w:tcPr>
            <w:tcW w:w="2790" w:type="dxa"/>
          </w:tcPr>
          <w:p w14:paraId="013A0B5A" w14:textId="77777777" w:rsidR="001D0086" w:rsidRPr="004A055E" w:rsidRDefault="001D0086" w:rsidP="004A055E">
            <w:pPr>
              <w:cnfStyle w:val="000000000000" w:firstRow="0" w:lastRow="0" w:firstColumn="0" w:lastColumn="0" w:oddVBand="0" w:evenVBand="0" w:oddHBand="0" w:evenHBand="0" w:firstRowFirstColumn="0" w:firstRowLastColumn="0" w:lastRowFirstColumn="0" w:lastRowLastColumn="0"/>
            </w:pPr>
            <w:r w:rsidRPr="004A055E">
              <w:t>3</w:t>
            </w:r>
          </w:p>
        </w:tc>
        <w:tc>
          <w:tcPr>
            <w:tcW w:w="2790" w:type="dxa"/>
          </w:tcPr>
          <w:p w14:paraId="2AD21C24" w14:textId="77777777" w:rsidR="001D0086" w:rsidRPr="004A055E" w:rsidRDefault="001D0086" w:rsidP="006634EF">
            <w:pPr>
              <w:keepNext/>
              <w:cnfStyle w:val="000000000000" w:firstRow="0" w:lastRow="0" w:firstColumn="0" w:lastColumn="0" w:oddVBand="0" w:evenVBand="0" w:oddHBand="0" w:evenHBand="0" w:firstRowFirstColumn="0" w:firstRowLastColumn="0" w:lastRowFirstColumn="0" w:lastRowLastColumn="0"/>
            </w:pPr>
            <w:r w:rsidRPr="004A055E">
              <w:t>1</w:t>
            </w:r>
          </w:p>
        </w:tc>
      </w:tr>
    </w:tbl>
    <w:p w14:paraId="276242B4" w14:textId="64803E06" w:rsidR="006634EF" w:rsidRDefault="006634EF">
      <w:pPr>
        <w:pStyle w:val="Caption"/>
      </w:pPr>
      <w:r>
        <w:t xml:space="preserve">Table </w:t>
      </w:r>
      <w:r>
        <w:fldChar w:fldCharType="begin"/>
      </w:r>
      <w:r>
        <w:instrText xml:space="preserve"> SEQ Table \* ARABIC </w:instrText>
      </w:r>
      <w:r>
        <w:fldChar w:fldCharType="separate"/>
      </w:r>
      <w:r w:rsidR="00195691">
        <w:rPr>
          <w:noProof/>
        </w:rPr>
        <w:t>1</w:t>
      </w:r>
      <w:r>
        <w:fldChar w:fldCharType="end"/>
      </w:r>
      <w:r>
        <w:t xml:space="preserve">: </w:t>
      </w:r>
      <w:r w:rsidRPr="00887067">
        <w:t>Overview of what actions taken following planning applications in relation to this policy</w:t>
      </w:r>
    </w:p>
    <w:p w14:paraId="7D46B1AE" w14:textId="77777777" w:rsidR="006634EF" w:rsidRDefault="006634EF" w:rsidP="00355EA2">
      <w:pPr>
        <w:pStyle w:val="Subtitle"/>
        <w:rPr>
          <w:rFonts w:eastAsia="Calibri"/>
        </w:rPr>
      </w:pPr>
    </w:p>
    <w:p w14:paraId="0E683025" w14:textId="5084448D" w:rsidR="001D0086" w:rsidRPr="004A055E" w:rsidRDefault="001D0086" w:rsidP="00355EA2">
      <w:pPr>
        <w:pStyle w:val="Subtitle"/>
      </w:pPr>
      <w:r w:rsidRPr="004A055E">
        <w:rPr>
          <w:rFonts w:eastAsia="Calibri"/>
        </w:rPr>
        <w:t xml:space="preserve">2019/2020 </w:t>
      </w:r>
    </w:p>
    <w:p w14:paraId="4E0BC40C" w14:textId="77777777" w:rsidR="001D0086" w:rsidRPr="004A055E" w:rsidRDefault="001D0086" w:rsidP="004A055E">
      <w:r w:rsidRPr="004A055E">
        <w:t xml:space="preserve">As outlined in the table above, there were a total of 12 hot food takeaway planning applications in 2019/2020, of which five were permitted, six refused and, for one, a decision is yet to be made. </w:t>
      </w:r>
    </w:p>
    <w:p w14:paraId="346CDA93" w14:textId="77777777" w:rsidR="001D0086" w:rsidRPr="004A055E" w:rsidRDefault="001D0086" w:rsidP="004A055E">
      <w:r w:rsidRPr="004A055E">
        <w:t xml:space="preserve">Out of the five applications permitted, two were within 200m of a school:  </w:t>
      </w:r>
    </w:p>
    <w:p w14:paraId="4F0A078D" w14:textId="77777777" w:rsidR="001D0086" w:rsidRPr="004A055E" w:rsidRDefault="001D0086" w:rsidP="004A055E">
      <w:r w:rsidRPr="004A055E">
        <w:t xml:space="preserve">Two were approved regardless of meeting the threshold for Policy </w:t>
      </w:r>
      <w:proofErr w:type="gramStart"/>
      <w:r w:rsidRPr="004A055E">
        <w:t>D,TC</w:t>
      </w:r>
      <w:proofErr w:type="gramEnd"/>
      <w:r w:rsidRPr="004A055E">
        <w:t xml:space="preserve">5 for the following reasons: </w:t>
      </w:r>
    </w:p>
    <w:p w14:paraId="4ED0975F" w14:textId="77777777" w:rsidR="001D0086" w:rsidRPr="004A055E" w:rsidRDefault="001D0086" w:rsidP="006E7A5D">
      <w:pPr>
        <w:numPr>
          <w:ilvl w:val="0"/>
          <w:numId w:val="10"/>
        </w:numPr>
      </w:pPr>
      <w:r w:rsidRPr="004A055E">
        <w:t xml:space="preserve">Despite the development not being in accordance with relevant planning policy, this development was already in motion and functioning as a hot food takeaway. The current harm </w:t>
      </w:r>
      <w:proofErr w:type="gramStart"/>
      <w:r w:rsidRPr="004A055E">
        <w:t>as a result of</w:t>
      </w:r>
      <w:proofErr w:type="gramEnd"/>
      <w:r w:rsidRPr="004A055E">
        <w:t xml:space="preserve"> this use against this policy was assessed. Considering the detrimental impact of the COVID-19 on businesses, the Council utilised it powers to sustain this viable business in the borough. </w:t>
      </w:r>
    </w:p>
    <w:p w14:paraId="334BE79C" w14:textId="77777777" w:rsidR="001D0086" w:rsidRPr="004A055E" w:rsidRDefault="001D0086" w:rsidP="006E7A5D">
      <w:pPr>
        <w:numPr>
          <w:ilvl w:val="0"/>
          <w:numId w:val="10"/>
        </w:numPr>
      </w:pPr>
      <w:r w:rsidRPr="004A055E">
        <w:t xml:space="preserve">An applicant was seeking additional floorspace for a Restaurant (A3)/Hot Food Takeaway (A5). Permission for A5 use was previously granted, therefore this did not increase A5. Whilst the applicant had initially sought the additional floorspace in relation to the hot food takeaway use, it was confirmed that the additional </w:t>
      </w:r>
      <w:r w:rsidRPr="004A055E">
        <w:lastRenderedPageBreak/>
        <w:t xml:space="preserve">floorspace would be for the restaurant’s purposes and that the ground floor would serve as a restaurant seating area and hot food take away waiting area. </w:t>
      </w:r>
    </w:p>
    <w:p w14:paraId="02012C2F" w14:textId="77777777" w:rsidR="001D0086" w:rsidRPr="004A055E" w:rsidRDefault="001D0086" w:rsidP="004A055E">
      <w:r w:rsidRPr="004A055E">
        <w:t xml:space="preserve">The other three applications were permitted because they did not meet the threshold for Policy D.TC5. </w:t>
      </w:r>
    </w:p>
    <w:p w14:paraId="0208B8C1" w14:textId="77777777" w:rsidR="001D0086" w:rsidRPr="004A055E" w:rsidRDefault="001D0086" w:rsidP="004A055E">
      <w:r w:rsidRPr="004A055E">
        <w:t xml:space="preserve">Out of the 6 applications refused, 3 were within 200m of a school and policy D.TC5 was used to refuse: </w:t>
      </w:r>
    </w:p>
    <w:p w14:paraId="23A48801" w14:textId="77777777" w:rsidR="001D0086" w:rsidRPr="004A055E" w:rsidRDefault="001D0086" w:rsidP="006E7A5D">
      <w:pPr>
        <w:numPr>
          <w:ilvl w:val="0"/>
          <w:numId w:val="10"/>
        </w:numPr>
      </w:pPr>
      <w:r w:rsidRPr="004A055E">
        <w:t xml:space="preserve">An application was refused to protect A1 use and due to the </w:t>
      </w:r>
      <w:proofErr w:type="gramStart"/>
      <w:r w:rsidRPr="004A055E">
        <w:t>close proximity</w:t>
      </w:r>
      <w:proofErr w:type="gramEnd"/>
      <w:r w:rsidRPr="004A055E">
        <w:t xml:space="preserve"> to the existing primary school which was not in accordance with Local Plan Policy DM1 of the Managing Development Document (2013). Policy D.TC5 was used to refuse. </w:t>
      </w:r>
    </w:p>
    <w:p w14:paraId="7A024833" w14:textId="77777777" w:rsidR="001D0086" w:rsidRPr="004A055E" w:rsidRDefault="001D0086" w:rsidP="006E7A5D">
      <w:pPr>
        <w:numPr>
          <w:ilvl w:val="0"/>
          <w:numId w:val="9"/>
        </w:numPr>
        <w:ind w:left="360"/>
      </w:pPr>
      <w:r w:rsidRPr="004A055E">
        <w:t xml:space="preserve">An application was refused because the loss of A1 use and the introduction of A5 use was not supported due to the protection of A1 uses </w:t>
      </w:r>
      <w:proofErr w:type="gramStart"/>
      <w:r w:rsidRPr="004A055E">
        <w:t>and also</w:t>
      </w:r>
      <w:proofErr w:type="gramEnd"/>
      <w:r w:rsidRPr="004A055E">
        <w:t xml:space="preserve"> its proximity to a local school. As such, the proposal was not accordant with local plan policy D.TC2 and D.TC5. </w:t>
      </w:r>
    </w:p>
    <w:p w14:paraId="4498CDC7" w14:textId="77777777" w:rsidR="001D0086" w:rsidRPr="004A055E" w:rsidRDefault="001D0086" w:rsidP="006E7A5D">
      <w:pPr>
        <w:numPr>
          <w:ilvl w:val="0"/>
          <w:numId w:val="8"/>
        </w:numPr>
      </w:pPr>
      <w:r w:rsidRPr="004A055E">
        <w:t xml:space="preserve">An </w:t>
      </w:r>
      <w:proofErr w:type="gramStart"/>
      <w:r w:rsidRPr="004A055E">
        <w:t>application  was</w:t>
      </w:r>
      <w:proofErr w:type="gramEnd"/>
      <w:r w:rsidRPr="004A055E">
        <w:t xml:space="preserve"> refused because the relocation of the A5 use class was not adequately justified in terms of amenity impacts and was not supported. The external works would neither preserve nor enhance the conservation area or surrounds with. </w:t>
      </w:r>
    </w:p>
    <w:p w14:paraId="351B31DF" w14:textId="77777777" w:rsidR="001D0086" w:rsidRPr="004A055E" w:rsidRDefault="001D0086" w:rsidP="004A055E">
      <w:r w:rsidRPr="004A055E">
        <w:t xml:space="preserve">The other 3 were refused based on heritage grounds and to protect A1 use. </w:t>
      </w:r>
    </w:p>
    <w:p w14:paraId="6F550509" w14:textId="77777777" w:rsidR="001D0086" w:rsidRPr="004A055E" w:rsidRDefault="001D0086" w:rsidP="00355EA2">
      <w:pPr>
        <w:pStyle w:val="Subtitle"/>
      </w:pPr>
      <w:r w:rsidRPr="004A055E">
        <w:rPr>
          <w:rFonts w:eastAsia="Calibri"/>
        </w:rPr>
        <w:t xml:space="preserve">2020/2021 </w:t>
      </w:r>
    </w:p>
    <w:p w14:paraId="2BAF1FFC" w14:textId="77777777" w:rsidR="001D0086" w:rsidRPr="004A055E" w:rsidRDefault="001D0086" w:rsidP="004A055E">
      <w:r w:rsidRPr="004A055E">
        <w:t xml:space="preserve">In 2020/2021 there were a total of four planning applications involving hot food takeaways. Out of these none were permitted, three refused and one is still awaiting a decision. </w:t>
      </w:r>
    </w:p>
    <w:p w14:paraId="786AC7CE" w14:textId="77777777" w:rsidR="001D0086" w:rsidRPr="004A055E" w:rsidRDefault="001D0086" w:rsidP="004A055E">
      <w:r w:rsidRPr="004A055E">
        <w:t>The three that were refused met the threshold for Policy D.TC5. Policy D.TC5 was used to refuse all of them:</w:t>
      </w:r>
    </w:p>
    <w:p w14:paraId="3380320F" w14:textId="77777777" w:rsidR="001D0086" w:rsidRPr="004A055E" w:rsidRDefault="001D0086" w:rsidP="006E7A5D">
      <w:pPr>
        <w:numPr>
          <w:ilvl w:val="0"/>
          <w:numId w:val="11"/>
        </w:numPr>
        <w:contextualSpacing/>
      </w:pPr>
      <w:r w:rsidRPr="004A055E">
        <w:t xml:space="preserve">One was within 200m of a school. The council’s Policy Team objected to the proposal, stating that the A5 use was unacceptable in principle in this </w:t>
      </w:r>
      <w:proofErr w:type="gramStart"/>
      <w:r w:rsidRPr="004A055E">
        <w:t>out of town</w:t>
      </w:r>
      <w:proofErr w:type="gramEnd"/>
      <w:r w:rsidRPr="004A055E">
        <w:t xml:space="preserve"> centre location, contrary to policy D.TC5 part 3.</w:t>
      </w:r>
    </w:p>
    <w:p w14:paraId="580D259E" w14:textId="77777777" w:rsidR="001D0086" w:rsidRPr="004A055E" w:rsidRDefault="001D0086" w:rsidP="004A055E">
      <w:pPr>
        <w:ind w:left="360"/>
        <w:contextualSpacing/>
      </w:pPr>
    </w:p>
    <w:p w14:paraId="0B68F2C5" w14:textId="77777777" w:rsidR="001D0086" w:rsidRPr="004A055E" w:rsidRDefault="001D0086" w:rsidP="006E7A5D">
      <w:pPr>
        <w:numPr>
          <w:ilvl w:val="0"/>
          <w:numId w:val="11"/>
        </w:numPr>
        <w:contextualSpacing/>
      </w:pPr>
      <w:r w:rsidRPr="004A055E">
        <w:t>One was within 400m of a school and would have led to a separation of less than four non-A5 units between HFTs. Furthermore, the proposal would have increased A5 units to more than 5% of the total number of units within the neighbourhood and would have led to there being more than one A5 unit within the neighbourhood parade. Given this, the development would have resulted in an over-provision of hot food takeaways in its surroundings which would have been to the detriment of encouraging healthy lifestyles and addressing health inequalities. Policy D.TC5 was used to refuse.</w:t>
      </w:r>
    </w:p>
    <w:p w14:paraId="54363746" w14:textId="77777777" w:rsidR="001D0086" w:rsidRPr="004A055E" w:rsidRDefault="001D0086" w:rsidP="004A055E">
      <w:pPr>
        <w:ind w:left="360"/>
        <w:contextualSpacing/>
      </w:pPr>
    </w:p>
    <w:p w14:paraId="3EF34BC0" w14:textId="77777777" w:rsidR="001D0086" w:rsidRPr="004A055E" w:rsidRDefault="001D0086" w:rsidP="006E7A5D">
      <w:pPr>
        <w:numPr>
          <w:ilvl w:val="0"/>
          <w:numId w:val="11"/>
        </w:numPr>
        <w:contextualSpacing/>
      </w:pPr>
      <w:r w:rsidRPr="004A055E">
        <w:t>One would have resulted in unacceptable negative impacts on the amenity of surrounding properties which was contrary to relevant regional and local policies. Policy D.TC5 part 3 states that A5 uses will only be acceptable where they will not harm the amenity of the surrounding properties. Therefore, this application was refused.</w:t>
      </w:r>
    </w:p>
    <w:p w14:paraId="16ADDDFE" w14:textId="77777777" w:rsidR="001D0086" w:rsidRPr="004A055E" w:rsidRDefault="001D0086" w:rsidP="004A055E">
      <w:pPr>
        <w:contextualSpacing/>
      </w:pPr>
    </w:p>
    <w:p w14:paraId="272A1990" w14:textId="77777777" w:rsidR="001D0086" w:rsidRPr="004A055E" w:rsidRDefault="001D0086" w:rsidP="004A055E">
      <w:r w:rsidRPr="004A055E">
        <w:lastRenderedPageBreak/>
        <w:t>Between 2019 and 2021 56% (9) of all (16) hot food takeaways planning applications were refused. Out of those, 66% (6) were refused using Policy D.TC5. This shows the effectiveness of the policy in reducing hot food takeaways and improving the food environment in Tower Hamlets.</w:t>
      </w:r>
    </w:p>
    <w:p w14:paraId="15237D4F" w14:textId="77777777" w:rsidR="001D0086" w:rsidRPr="004A055E" w:rsidRDefault="001D0086" w:rsidP="004A055E">
      <w:r w:rsidRPr="004A055E">
        <w:t>The analysis recommended to renew Policy D.TC5 in the refresh of the Local Plan and adopt the 400m radius as per current London Plan Policy.</w:t>
      </w:r>
    </w:p>
    <w:p w14:paraId="0D8B0AEE" w14:textId="77777777" w:rsidR="001D0086" w:rsidRPr="004A055E" w:rsidRDefault="001D0086" w:rsidP="004A055E"/>
    <w:p w14:paraId="2A2F0E06" w14:textId="230F7454" w:rsidR="001D0086" w:rsidRPr="004A055E" w:rsidRDefault="001D0086" w:rsidP="004A055E">
      <w:pPr>
        <w:pStyle w:val="Heading1"/>
      </w:pPr>
      <w:r>
        <w:t xml:space="preserve">2. </w:t>
      </w:r>
      <w:r w:rsidRPr="004A055E">
        <w:t>Health Context</w:t>
      </w:r>
    </w:p>
    <w:p w14:paraId="6A39D38B" w14:textId="77777777" w:rsidR="001D0086" w:rsidRPr="004A055E" w:rsidRDefault="001D0086" w:rsidP="004A055E">
      <w:pPr>
        <w:rPr>
          <w:color w:val="000000" w:themeColor="text1"/>
          <w:lang w:val="en-US"/>
        </w:rPr>
      </w:pPr>
    </w:p>
    <w:p w14:paraId="477573C2" w14:textId="77777777" w:rsidR="001D0086" w:rsidRPr="004A055E" w:rsidRDefault="001D0086" w:rsidP="00355EA2">
      <w:pPr>
        <w:pStyle w:val="Heading2"/>
        <w:rPr>
          <w:lang w:val="en-US"/>
        </w:rPr>
      </w:pPr>
      <w:r w:rsidRPr="004A055E">
        <w:rPr>
          <w:lang w:val="en-US"/>
        </w:rPr>
        <w:t>2.1 Healthy weight and its consequences</w:t>
      </w:r>
    </w:p>
    <w:p w14:paraId="7FE6A167" w14:textId="77777777" w:rsidR="001D0086" w:rsidRPr="004A055E" w:rsidRDefault="001D0086" w:rsidP="004A055E">
      <w:pPr>
        <w:rPr>
          <w:lang w:val="en-US"/>
        </w:rPr>
      </w:pPr>
    </w:p>
    <w:p w14:paraId="4DCAFB02" w14:textId="77777777" w:rsidR="001D0086" w:rsidRPr="004A055E" w:rsidRDefault="001D0086" w:rsidP="004A055E">
      <w:pPr>
        <w:rPr>
          <w:lang w:val="en-US"/>
        </w:rPr>
      </w:pPr>
      <w:r w:rsidRPr="004A055E">
        <w:rPr>
          <w:lang w:val="en-US"/>
        </w:rPr>
        <w:t>Healthy weight is associated with reduced life expectancy and is a risk factor for a range of chronic diseases, including cardiovascular disease, type 2 diabetes, at least 12 kinds of cancer, liver, and respiratory disease, and can also impact negatively on mental health.</w:t>
      </w:r>
      <w:r w:rsidRPr="004A055E">
        <w:rPr>
          <w:vertAlign w:val="superscript"/>
          <w:lang w:val="en-US"/>
        </w:rPr>
        <w:endnoteReference w:id="8"/>
      </w:r>
    </w:p>
    <w:p w14:paraId="7F0C48AD" w14:textId="77777777" w:rsidR="001D0086" w:rsidRPr="004A055E" w:rsidRDefault="001D0086" w:rsidP="004A055E">
      <w:pPr>
        <w:rPr>
          <w:lang w:val="en-US"/>
        </w:rPr>
      </w:pPr>
      <w:r w:rsidRPr="004A055E">
        <w:rPr>
          <w:lang w:val="en-US"/>
        </w:rPr>
        <w:t>Residents who are moderately obese (BMI 30-35) have an average reduced life expectancy of three to four years. Residents who are morbidly obese (BMI 40-50) have a reduced life expectancy of eight to ten years.</w:t>
      </w:r>
      <w:r w:rsidRPr="004A055E">
        <w:rPr>
          <w:vertAlign w:val="superscript"/>
          <w:lang w:val="en-US"/>
        </w:rPr>
        <w:endnoteReference w:id="9"/>
      </w:r>
      <w:r w:rsidRPr="004A055E">
        <w:rPr>
          <w:lang w:val="en-US"/>
        </w:rPr>
        <w:t xml:space="preserve"> In addition to this, in children and young people, healthy weight is associated with school absence. In adults, it is linked to increased sick leave and unemployment.</w:t>
      </w:r>
      <w:r w:rsidRPr="004A055E">
        <w:rPr>
          <w:vertAlign w:val="superscript"/>
          <w:lang w:val="en-US"/>
        </w:rPr>
        <w:endnoteReference w:id="10"/>
      </w:r>
    </w:p>
    <w:p w14:paraId="154D0398" w14:textId="140F2942" w:rsidR="001D0086" w:rsidRPr="004A055E" w:rsidRDefault="001D0086" w:rsidP="004A055E">
      <w:pPr>
        <w:rPr>
          <w:lang w:val="en-US"/>
        </w:rPr>
      </w:pPr>
      <w:r w:rsidRPr="004A055E">
        <w:rPr>
          <w:b/>
          <w:bCs/>
          <w:lang w:val="en-US"/>
        </w:rPr>
        <w:t>There are considerable inequalities in healthy weight rates among different population groups. The burden is falling hardest on those from low-income backgrounds, with healthy weight rates highest for children and adults in the most deprived areas and getting worse</w:t>
      </w:r>
      <w:r w:rsidRPr="004A055E">
        <w:rPr>
          <w:lang w:val="en-US"/>
        </w:rPr>
        <w:t>: Healthy weight for men was much lower in the least deprived quintile (22%) than the other quintiles; it was highest in the most deprived quintile (30%). Healthy weight for women was lowest in the least deprived (22%) and highest in the most deprived (39%). Data from 2019/2020 shows that</w:t>
      </w:r>
      <w:r w:rsidRPr="004A055E">
        <w:t xml:space="preserve"> </w:t>
      </w:r>
      <w:r w:rsidRPr="004A055E">
        <w:rPr>
          <w:lang w:val="en-US"/>
        </w:rPr>
        <w:t xml:space="preserve">healthy weight was lower among children in higher income households, and higher in households with lower incomes. 10% and 12% of children respectively in the two highest income </w:t>
      </w:r>
      <w:r w:rsidRPr="008626F1">
        <w:rPr>
          <w:lang w:val="en-US"/>
        </w:rPr>
        <w:t>quintiles were obese, compared with 19% in the two lowest income quintiles. The proportions who were overweight including obese were between 22% and 25% in the highest three quintiles, compared with 32% in the second lowest and 37% of those in the lowest income quintile.</w:t>
      </w:r>
      <w:r w:rsidRPr="008626F1">
        <w:rPr>
          <w:vertAlign w:val="superscript"/>
          <w:lang w:val="en-US"/>
        </w:rPr>
        <w:endnoteReference w:id="11"/>
      </w:r>
      <w:r w:rsidRPr="008626F1">
        <w:t xml:space="preserve"> </w:t>
      </w:r>
      <w:r w:rsidRPr="008626F1">
        <w:rPr>
          <w:b/>
          <w:bCs/>
        </w:rPr>
        <w:t>Children in the most deprived areas were more than twice as likely as children in the least deprived to be a healthy weight</w:t>
      </w:r>
      <w:r w:rsidRPr="008626F1">
        <w:t xml:space="preserve">. There are also inequalities by ethnic group. </w:t>
      </w:r>
      <w:r w:rsidRPr="008626F1">
        <w:rPr>
          <w:b/>
          <w:bCs/>
        </w:rPr>
        <w:t>The Black African ethnic group had the highest prevalence in children aged 4 to 5 years (15.9%) and the Black African, Black Caribbean and Bangladeshi ethnic groups had the highest prevalence in children aged 10 to 11 years (around 30%)</w:t>
      </w:r>
      <w:r w:rsidRPr="008626F1">
        <w:t>.</w:t>
      </w:r>
      <w:r w:rsidRPr="008626F1">
        <w:rPr>
          <w:vertAlign w:val="superscript"/>
        </w:rPr>
        <w:endnoteReference w:id="12"/>
      </w:r>
    </w:p>
    <w:p w14:paraId="468FA3AD" w14:textId="77777777" w:rsidR="001D0086" w:rsidRPr="004A055E" w:rsidRDefault="001D0086" w:rsidP="004A055E">
      <w:pPr>
        <w:rPr>
          <w:lang w:val="en-US"/>
        </w:rPr>
      </w:pPr>
      <w:r w:rsidRPr="004A055E">
        <w:rPr>
          <w:lang w:val="en-US"/>
        </w:rPr>
        <w:t xml:space="preserve">The National Child Measurement </w:t>
      </w:r>
      <w:proofErr w:type="spellStart"/>
      <w:r w:rsidRPr="004A055E">
        <w:rPr>
          <w:lang w:val="en-US"/>
        </w:rPr>
        <w:t>Programme</w:t>
      </w:r>
      <w:proofErr w:type="spellEnd"/>
      <w:r w:rsidRPr="004A055E">
        <w:rPr>
          <w:lang w:val="en-US"/>
        </w:rPr>
        <w:t xml:space="preserve"> (NCMP) also shows substantial variation in levels of healthy weight among different ethnic groups. Healthy </w:t>
      </w:r>
      <w:proofErr w:type="gramStart"/>
      <w:r w:rsidRPr="004A055E">
        <w:rPr>
          <w:lang w:val="en-US"/>
        </w:rPr>
        <w:t>weight  prevalence</w:t>
      </w:r>
      <w:proofErr w:type="gramEnd"/>
      <w:r w:rsidRPr="004A055E">
        <w:rPr>
          <w:lang w:val="en-US"/>
        </w:rPr>
        <w:t xml:space="preserve"> was highest for Black children in both reception and year 6.</w:t>
      </w:r>
      <w:r w:rsidRPr="004A055E">
        <w:rPr>
          <w:vertAlign w:val="superscript"/>
          <w:lang w:val="en-US"/>
        </w:rPr>
        <w:endnoteReference w:id="13"/>
      </w:r>
      <w:r w:rsidRPr="004A055E">
        <w:rPr>
          <w:lang w:val="en-US"/>
        </w:rPr>
        <w:t xml:space="preserve"> The prevalence of health conditions linked to healthy weight, including cardiovascular disease and type 2 diabetes, also varies by ethnic group. For example, type 2 diabetes affects people of South Asian, African-Caribbean, Chinese or black African at a higher percentage than white Europeans.</w:t>
      </w:r>
      <w:r w:rsidRPr="004A055E">
        <w:rPr>
          <w:vertAlign w:val="superscript"/>
          <w:lang w:val="en-US"/>
        </w:rPr>
        <w:endnoteReference w:id="14"/>
      </w:r>
      <w:r w:rsidRPr="004A055E">
        <w:rPr>
          <w:lang w:val="en-US"/>
        </w:rPr>
        <w:t xml:space="preserve"> Furthermore, Bangladeshi men are </w:t>
      </w:r>
      <w:r w:rsidRPr="004A055E">
        <w:rPr>
          <w:lang w:val="en-US"/>
        </w:rPr>
        <w:lastRenderedPageBreak/>
        <w:t>almost four times more likely to have doctor-diagnosed diabetes compared to men in the general population, whilst Bangladeshi women are over three times more likely than their white European counterparts. This inequality is particularly pertinent for Tower Hamlets where there is a sizable Bangladeshi population.</w:t>
      </w:r>
    </w:p>
    <w:p w14:paraId="0F870C4D" w14:textId="77777777" w:rsidR="001D0086" w:rsidRDefault="001D0086" w:rsidP="004A055E">
      <w:pPr>
        <w:rPr>
          <w:lang w:val="en-US"/>
        </w:rPr>
      </w:pPr>
      <w:r w:rsidRPr="004A055E">
        <w:rPr>
          <w:b/>
          <w:bCs/>
          <w:lang w:val="en-US"/>
        </w:rPr>
        <w:t>In addition to the health impact, healthy weight is costly. In 2019/20 there were more than 1 million hospital admissions linked to obesity in England, an increase of 17 per cent on the previous year. Rising rates of obesity translate to increasing costs for the NHS. In 2014/15 the NHS spent £6.1 billion on treating obesity-related ill health, and this is forecast to rise to £9.7 billion per year by 2050</w:t>
      </w:r>
      <w:r w:rsidRPr="004A055E">
        <w:rPr>
          <w:lang w:val="en-US"/>
        </w:rPr>
        <w:t>.</w:t>
      </w:r>
      <w:r w:rsidRPr="004A055E">
        <w:rPr>
          <w:vertAlign w:val="superscript"/>
          <w:lang w:val="en-US"/>
        </w:rPr>
        <w:endnoteReference w:id="15"/>
      </w:r>
      <w:r w:rsidRPr="004A055E">
        <w:rPr>
          <w:lang w:val="en-US"/>
        </w:rPr>
        <w:t xml:space="preserve"> 28% of adults in England are obese and a further 36% are overweight.</w:t>
      </w:r>
      <w:r w:rsidRPr="004A055E">
        <w:rPr>
          <w:vertAlign w:val="superscript"/>
          <w:lang w:val="en-US"/>
        </w:rPr>
        <w:endnoteReference w:id="16"/>
      </w:r>
    </w:p>
    <w:p w14:paraId="47B088A0" w14:textId="68227D8C" w:rsidR="00DD389A" w:rsidRPr="004A055E" w:rsidRDefault="00DD389A" w:rsidP="004A055E">
      <w:pPr>
        <w:rPr>
          <w:lang w:val="en-US"/>
        </w:rPr>
      </w:pPr>
      <w:r w:rsidRPr="004A055E">
        <w:rPr>
          <w:b/>
          <w:bCs/>
          <w:lang w:val="en-US"/>
        </w:rPr>
        <w:t>Healthy Weight in Tower Hamlets</w:t>
      </w:r>
      <w:r w:rsidRPr="004A055E">
        <w:rPr>
          <w:b/>
          <w:bCs/>
          <w:vertAlign w:val="superscript"/>
          <w:lang w:val="en-US"/>
        </w:rPr>
        <w:endnoteReference w:id="17"/>
      </w:r>
    </w:p>
    <w:tbl>
      <w:tblPr>
        <w:tblStyle w:val="TableGrid"/>
        <w:tblW w:w="0" w:type="auto"/>
        <w:tblLook w:val="04A0" w:firstRow="1" w:lastRow="0" w:firstColumn="1" w:lastColumn="0" w:noHBand="0" w:noVBand="1"/>
      </w:tblPr>
      <w:tblGrid>
        <w:gridCol w:w="5374"/>
        <w:gridCol w:w="1203"/>
        <w:gridCol w:w="1193"/>
        <w:gridCol w:w="1246"/>
      </w:tblGrid>
      <w:tr w:rsidR="001D0086" w:rsidRPr="004A055E" w14:paraId="59C9D8A1" w14:textId="77777777" w:rsidTr="00DD389A">
        <w:tc>
          <w:tcPr>
            <w:tcW w:w="5374" w:type="dxa"/>
          </w:tcPr>
          <w:p w14:paraId="7532C793" w14:textId="77777777" w:rsidR="001D0086" w:rsidRPr="004A055E" w:rsidRDefault="001D0086" w:rsidP="004A055E">
            <w:pPr>
              <w:rPr>
                <w:b/>
                <w:bCs/>
                <w:lang w:val="en-US"/>
              </w:rPr>
            </w:pPr>
            <w:r w:rsidRPr="004A055E">
              <w:rPr>
                <w:b/>
                <w:bCs/>
                <w:lang w:val="en-US"/>
              </w:rPr>
              <w:t>Indicator</w:t>
            </w:r>
          </w:p>
        </w:tc>
        <w:tc>
          <w:tcPr>
            <w:tcW w:w="1203" w:type="dxa"/>
          </w:tcPr>
          <w:p w14:paraId="381F4857" w14:textId="77777777" w:rsidR="001D0086" w:rsidRPr="004A055E" w:rsidRDefault="001D0086" w:rsidP="004A055E">
            <w:pPr>
              <w:rPr>
                <w:b/>
                <w:bCs/>
                <w:lang w:val="en-US"/>
              </w:rPr>
            </w:pPr>
            <w:r w:rsidRPr="004A055E">
              <w:rPr>
                <w:b/>
                <w:bCs/>
                <w:lang w:val="en-US"/>
              </w:rPr>
              <w:t>LBTH</w:t>
            </w:r>
          </w:p>
        </w:tc>
        <w:tc>
          <w:tcPr>
            <w:tcW w:w="1193" w:type="dxa"/>
          </w:tcPr>
          <w:p w14:paraId="232707DA" w14:textId="77777777" w:rsidR="001D0086" w:rsidRPr="004A055E" w:rsidRDefault="001D0086" w:rsidP="004A055E">
            <w:pPr>
              <w:rPr>
                <w:b/>
                <w:bCs/>
                <w:lang w:val="en-US"/>
              </w:rPr>
            </w:pPr>
            <w:r w:rsidRPr="004A055E">
              <w:rPr>
                <w:b/>
                <w:bCs/>
                <w:lang w:val="en-US"/>
              </w:rPr>
              <w:t>London</w:t>
            </w:r>
          </w:p>
        </w:tc>
        <w:tc>
          <w:tcPr>
            <w:tcW w:w="1246" w:type="dxa"/>
          </w:tcPr>
          <w:p w14:paraId="2B64EC4C" w14:textId="77777777" w:rsidR="001D0086" w:rsidRPr="004A055E" w:rsidRDefault="001D0086" w:rsidP="004A055E">
            <w:pPr>
              <w:rPr>
                <w:b/>
                <w:bCs/>
                <w:lang w:val="en-US"/>
              </w:rPr>
            </w:pPr>
            <w:r w:rsidRPr="004A055E">
              <w:rPr>
                <w:b/>
                <w:bCs/>
                <w:lang w:val="en-US"/>
              </w:rPr>
              <w:t>England</w:t>
            </w:r>
          </w:p>
        </w:tc>
      </w:tr>
      <w:tr w:rsidR="001D0086" w:rsidRPr="004A055E" w14:paraId="30BBDF73" w14:textId="77777777" w:rsidTr="00DD389A">
        <w:tc>
          <w:tcPr>
            <w:tcW w:w="5374" w:type="dxa"/>
          </w:tcPr>
          <w:p w14:paraId="2F887B18" w14:textId="77777777" w:rsidR="001D0086" w:rsidRPr="004A055E" w:rsidRDefault="001D0086" w:rsidP="004A055E">
            <w:pPr>
              <w:rPr>
                <w:lang w:val="en-US"/>
              </w:rPr>
            </w:pPr>
            <w:r w:rsidRPr="004A055E">
              <w:rPr>
                <w:lang w:val="en-US"/>
              </w:rPr>
              <w:t>Reception: Prevalence of overweight (including obesity)</w:t>
            </w:r>
          </w:p>
        </w:tc>
        <w:tc>
          <w:tcPr>
            <w:tcW w:w="1203" w:type="dxa"/>
          </w:tcPr>
          <w:p w14:paraId="21E7230F" w14:textId="77777777" w:rsidR="001D0086" w:rsidRPr="004A055E" w:rsidRDefault="001D0086" w:rsidP="004A055E">
            <w:pPr>
              <w:rPr>
                <w:lang w:val="en-US"/>
              </w:rPr>
            </w:pPr>
            <w:r w:rsidRPr="004A055E">
              <w:rPr>
                <w:lang w:val="en-US"/>
              </w:rPr>
              <w:t>22.4%</w:t>
            </w:r>
          </w:p>
        </w:tc>
        <w:tc>
          <w:tcPr>
            <w:tcW w:w="1193" w:type="dxa"/>
          </w:tcPr>
          <w:p w14:paraId="3B38BA09" w14:textId="77777777" w:rsidR="001D0086" w:rsidRPr="004A055E" w:rsidRDefault="001D0086" w:rsidP="004A055E">
            <w:pPr>
              <w:rPr>
                <w:lang w:val="en-US"/>
              </w:rPr>
            </w:pPr>
            <w:r w:rsidRPr="004A055E">
              <w:rPr>
                <w:lang w:val="en-US"/>
              </w:rPr>
              <w:t>21.6%</w:t>
            </w:r>
          </w:p>
        </w:tc>
        <w:tc>
          <w:tcPr>
            <w:tcW w:w="1246" w:type="dxa"/>
          </w:tcPr>
          <w:p w14:paraId="0A45BEF8" w14:textId="77777777" w:rsidR="001D0086" w:rsidRPr="004A055E" w:rsidRDefault="001D0086" w:rsidP="004A055E">
            <w:pPr>
              <w:rPr>
                <w:lang w:val="en-US"/>
              </w:rPr>
            </w:pPr>
            <w:r w:rsidRPr="004A055E">
              <w:rPr>
                <w:lang w:val="en-US"/>
              </w:rPr>
              <w:t>23%</w:t>
            </w:r>
          </w:p>
        </w:tc>
      </w:tr>
      <w:tr w:rsidR="001D0086" w:rsidRPr="004A055E" w14:paraId="27B07B51" w14:textId="77777777" w:rsidTr="00DD389A">
        <w:tc>
          <w:tcPr>
            <w:tcW w:w="5374" w:type="dxa"/>
          </w:tcPr>
          <w:p w14:paraId="327810D3" w14:textId="77777777" w:rsidR="001D0086" w:rsidRPr="004A055E" w:rsidRDefault="001D0086" w:rsidP="004A055E">
            <w:pPr>
              <w:rPr>
                <w:lang w:val="en-US"/>
              </w:rPr>
            </w:pPr>
            <w:r w:rsidRPr="004A055E">
              <w:rPr>
                <w:lang w:val="en-US"/>
              </w:rPr>
              <w:t>Reception: Prevalence of obesity (including severe obesity)</w:t>
            </w:r>
          </w:p>
        </w:tc>
        <w:tc>
          <w:tcPr>
            <w:tcW w:w="1203" w:type="dxa"/>
          </w:tcPr>
          <w:p w14:paraId="432A4485" w14:textId="77777777" w:rsidR="001D0086" w:rsidRPr="004A055E" w:rsidRDefault="001D0086" w:rsidP="004A055E">
            <w:pPr>
              <w:rPr>
                <w:lang w:val="en-US"/>
              </w:rPr>
            </w:pPr>
            <w:r w:rsidRPr="004A055E">
              <w:rPr>
                <w:lang w:val="en-US"/>
              </w:rPr>
              <w:t>12.2%</w:t>
            </w:r>
          </w:p>
        </w:tc>
        <w:tc>
          <w:tcPr>
            <w:tcW w:w="1193" w:type="dxa"/>
          </w:tcPr>
          <w:p w14:paraId="4793824D" w14:textId="77777777" w:rsidR="001D0086" w:rsidRPr="004A055E" w:rsidRDefault="001D0086" w:rsidP="004A055E">
            <w:pPr>
              <w:rPr>
                <w:lang w:val="en-US"/>
              </w:rPr>
            </w:pPr>
            <w:r w:rsidRPr="004A055E">
              <w:rPr>
                <w:lang w:val="en-US"/>
              </w:rPr>
              <w:t>10%</w:t>
            </w:r>
          </w:p>
        </w:tc>
        <w:tc>
          <w:tcPr>
            <w:tcW w:w="1246" w:type="dxa"/>
          </w:tcPr>
          <w:p w14:paraId="00FA919A" w14:textId="77777777" w:rsidR="001D0086" w:rsidRPr="004A055E" w:rsidRDefault="001D0086" w:rsidP="004A055E">
            <w:pPr>
              <w:rPr>
                <w:lang w:val="en-US"/>
              </w:rPr>
            </w:pPr>
            <w:r w:rsidRPr="004A055E">
              <w:rPr>
                <w:lang w:val="en-US"/>
              </w:rPr>
              <w:t>9.9%</w:t>
            </w:r>
          </w:p>
        </w:tc>
      </w:tr>
      <w:tr w:rsidR="001D0086" w:rsidRPr="004A055E" w14:paraId="34C46474" w14:textId="77777777" w:rsidTr="00DD389A">
        <w:tc>
          <w:tcPr>
            <w:tcW w:w="5374" w:type="dxa"/>
          </w:tcPr>
          <w:p w14:paraId="38779903" w14:textId="77777777" w:rsidR="001D0086" w:rsidRPr="004A055E" w:rsidRDefault="001D0086" w:rsidP="004A055E">
            <w:pPr>
              <w:rPr>
                <w:lang w:val="en-US"/>
              </w:rPr>
            </w:pPr>
            <w:r w:rsidRPr="004A055E">
              <w:rPr>
                <w:lang w:val="en-US"/>
              </w:rPr>
              <w:t>Year 6: Prevalence of overweight (including obesity)</w:t>
            </w:r>
          </w:p>
        </w:tc>
        <w:tc>
          <w:tcPr>
            <w:tcW w:w="1203" w:type="dxa"/>
          </w:tcPr>
          <w:p w14:paraId="5F35CB1D" w14:textId="77777777" w:rsidR="001D0086" w:rsidRPr="004A055E" w:rsidRDefault="001D0086" w:rsidP="004A055E">
            <w:pPr>
              <w:rPr>
                <w:lang w:val="en-US"/>
              </w:rPr>
            </w:pPr>
            <w:r w:rsidRPr="004A055E">
              <w:rPr>
                <w:lang w:val="en-US"/>
              </w:rPr>
              <w:t>41.8%</w:t>
            </w:r>
          </w:p>
        </w:tc>
        <w:tc>
          <w:tcPr>
            <w:tcW w:w="1193" w:type="dxa"/>
          </w:tcPr>
          <w:p w14:paraId="2DBDF08D" w14:textId="77777777" w:rsidR="001D0086" w:rsidRPr="004A055E" w:rsidRDefault="001D0086" w:rsidP="004A055E">
            <w:pPr>
              <w:rPr>
                <w:lang w:val="en-US"/>
              </w:rPr>
            </w:pPr>
            <w:r w:rsidRPr="004A055E">
              <w:rPr>
                <w:lang w:val="en-US"/>
              </w:rPr>
              <w:t>28.2%</w:t>
            </w:r>
          </w:p>
        </w:tc>
        <w:tc>
          <w:tcPr>
            <w:tcW w:w="1246" w:type="dxa"/>
          </w:tcPr>
          <w:p w14:paraId="6AC222F8" w14:textId="77777777" w:rsidR="001D0086" w:rsidRPr="004A055E" w:rsidRDefault="001D0086" w:rsidP="004A055E">
            <w:pPr>
              <w:rPr>
                <w:lang w:val="en-US"/>
              </w:rPr>
            </w:pPr>
            <w:r w:rsidRPr="004A055E">
              <w:rPr>
                <w:lang w:val="en-US"/>
              </w:rPr>
              <w:t>35.2%</w:t>
            </w:r>
          </w:p>
        </w:tc>
      </w:tr>
      <w:tr w:rsidR="001D0086" w:rsidRPr="004A055E" w14:paraId="0E580C00" w14:textId="77777777" w:rsidTr="00DD389A">
        <w:tc>
          <w:tcPr>
            <w:tcW w:w="5374" w:type="dxa"/>
          </w:tcPr>
          <w:p w14:paraId="6D4E803E" w14:textId="77777777" w:rsidR="001D0086" w:rsidRPr="004A055E" w:rsidRDefault="001D0086" w:rsidP="004A055E">
            <w:pPr>
              <w:rPr>
                <w:lang w:val="en-US"/>
              </w:rPr>
            </w:pPr>
            <w:r w:rsidRPr="004A055E">
              <w:rPr>
                <w:lang w:val="en-US"/>
              </w:rPr>
              <w:t>Year 6: Prevalence of obesity (including severe obesity)</w:t>
            </w:r>
          </w:p>
        </w:tc>
        <w:tc>
          <w:tcPr>
            <w:tcW w:w="1203" w:type="dxa"/>
          </w:tcPr>
          <w:p w14:paraId="779ABD03" w14:textId="77777777" w:rsidR="001D0086" w:rsidRPr="004A055E" w:rsidRDefault="001D0086" w:rsidP="004A055E">
            <w:pPr>
              <w:rPr>
                <w:lang w:val="en-US"/>
              </w:rPr>
            </w:pPr>
            <w:r w:rsidRPr="004A055E">
              <w:rPr>
                <w:lang w:val="en-US"/>
              </w:rPr>
              <w:t>25.9%</w:t>
            </w:r>
          </w:p>
        </w:tc>
        <w:tc>
          <w:tcPr>
            <w:tcW w:w="1193" w:type="dxa"/>
          </w:tcPr>
          <w:p w14:paraId="06520AEA" w14:textId="77777777" w:rsidR="001D0086" w:rsidRPr="004A055E" w:rsidRDefault="001D0086" w:rsidP="004A055E">
            <w:pPr>
              <w:rPr>
                <w:lang w:val="en-US"/>
              </w:rPr>
            </w:pPr>
            <w:r w:rsidRPr="004A055E">
              <w:rPr>
                <w:lang w:val="en-US"/>
              </w:rPr>
              <w:t>23.7%</w:t>
            </w:r>
          </w:p>
        </w:tc>
        <w:tc>
          <w:tcPr>
            <w:tcW w:w="1246" w:type="dxa"/>
          </w:tcPr>
          <w:p w14:paraId="14795900" w14:textId="77777777" w:rsidR="001D0086" w:rsidRPr="004A055E" w:rsidRDefault="001D0086" w:rsidP="004A055E">
            <w:pPr>
              <w:rPr>
                <w:lang w:val="en-US"/>
              </w:rPr>
            </w:pPr>
            <w:r w:rsidRPr="004A055E">
              <w:rPr>
                <w:lang w:val="en-US"/>
              </w:rPr>
              <w:t>21%</w:t>
            </w:r>
          </w:p>
        </w:tc>
      </w:tr>
      <w:tr w:rsidR="001D0086" w:rsidRPr="004A055E" w14:paraId="52C7AE8D" w14:textId="77777777" w:rsidTr="00DD389A">
        <w:tc>
          <w:tcPr>
            <w:tcW w:w="5374" w:type="dxa"/>
          </w:tcPr>
          <w:p w14:paraId="62D11BE9" w14:textId="77777777" w:rsidR="001D0086" w:rsidRPr="004A055E" w:rsidRDefault="001D0086" w:rsidP="004A055E">
            <w:pPr>
              <w:rPr>
                <w:lang w:val="en-US"/>
              </w:rPr>
            </w:pPr>
            <w:r w:rsidRPr="004A055E">
              <w:rPr>
                <w:lang w:val="en-US"/>
              </w:rPr>
              <w:t>Adults (18+) classed as overweight or obese</w:t>
            </w:r>
          </w:p>
        </w:tc>
        <w:tc>
          <w:tcPr>
            <w:tcW w:w="1203" w:type="dxa"/>
          </w:tcPr>
          <w:p w14:paraId="0B28B787" w14:textId="77777777" w:rsidR="001D0086" w:rsidRPr="004A055E" w:rsidRDefault="001D0086" w:rsidP="004A055E">
            <w:pPr>
              <w:rPr>
                <w:lang w:val="en-US"/>
              </w:rPr>
            </w:pPr>
            <w:r w:rsidRPr="004A055E">
              <w:rPr>
                <w:lang w:val="en-US"/>
              </w:rPr>
              <w:t>53.5%</w:t>
            </w:r>
          </w:p>
        </w:tc>
        <w:tc>
          <w:tcPr>
            <w:tcW w:w="1193" w:type="dxa"/>
          </w:tcPr>
          <w:p w14:paraId="34156F84" w14:textId="77777777" w:rsidR="001D0086" w:rsidRPr="004A055E" w:rsidRDefault="001D0086" w:rsidP="004A055E">
            <w:pPr>
              <w:rPr>
                <w:lang w:val="en-US"/>
              </w:rPr>
            </w:pPr>
            <w:r w:rsidRPr="004A055E">
              <w:rPr>
                <w:lang w:val="en-US"/>
              </w:rPr>
              <w:t>56%</w:t>
            </w:r>
          </w:p>
        </w:tc>
        <w:tc>
          <w:tcPr>
            <w:tcW w:w="1246" w:type="dxa"/>
          </w:tcPr>
          <w:p w14:paraId="3563DAA5" w14:textId="77777777" w:rsidR="001D0086" w:rsidRPr="004A055E" w:rsidRDefault="001D0086" w:rsidP="004A055E">
            <w:pPr>
              <w:rPr>
                <w:lang w:val="en-US"/>
              </w:rPr>
            </w:pPr>
            <w:r w:rsidRPr="004A055E">
              <w:rPr>
                <w:lang w:val="en-US"/>
              </w:rPr>
              <w:t>63.5%</w:t>
            </w:r>
          </w:p>
        </w:tc>
      </w:tr>
      <w:tr w:rsidR="001D0086" w:rsidRPr="004A055E" w14:paraId="3FA7EA3D" w14:textId="77777777" w:rsidTr="00DD389A">
        <w:tc>
          <w:tcPr>
            <w:tcW w:w="5374" w:type="dxa"/>
          </w:tcPr>
          <w:p w14:paraId="5180436B" w14:textId="77777777" w:rsidR="001D0086" w:rsidRPr="004A055E" w:rsidRDefault="001D0086" w:rsidP="004A055E">
            <w:pPr>
              <w:rPr>
                <w:lang w:val="en-US"/>
              </w:rPr>
            </w:pPr>
            <w:r w:rsidRPr="004A055E">
              <w:rPr>
                <w:lang w:val="en-US"/>
              </w:rPr>
              <w:t>Proportion of the population meeting the recommended ‘5-a-day’ on a “usual day” (adults)</w:t>
            </w:r>
          </w:p>
        </w:tc>
        <w:tc>
          <w:tcPr>
            <w:tcW w:w="1203" w:type="dxa"/>
          </w:tcPr>
          <w:p w14:paraId="40A744CD" w14:textId="77777777" w:rsidR="001D0086" w:rsidRPr="004A055E" w:rsidRDefault="001D0086" w:rsidP="004A055E">
            <w:pPr>
              <w:rPr>
                <w:lang w:val="en-US"/>
              </w:rPr>
            </w:pPr>
            <w:r w:rsidRPr="004A055E">
              <w:rPr>
                <w:lang w:val="en-US"/>
              </w:rPr>
              <w:t>52.2%</w:t>
            </w:r>
          </w:p>
        </w:tc>
        <w:tc>
          <w:tcPr>
            <w:tcW w:w="1193" w:type="dxa"/>
          </w:tcPr>
          <w:p w14:paraId="6C0739A5" w14:textId="77777777" w:rsidR="001D0086" w:rsidRPr="004A055E" w:rsidRDefault="001D0086" w:rsidP="004A055E">
            <w:pPr>
              <w:rPr>
                <w:lang w:val="en-US"/>
              </w:rPr>
            </w:pPr>
            <w:r w:rsidRPr="004A055E">
              <w:rPr>
                <w:lang w:val="en-US"/>
              </w:rPr>
              <w:t>55.8%</w:t>
            </w:r>
          </w:p>
        </w:tc>
        <w:tc>
          <w:tcPr>
            <w:tcW w:w="1246" w:type="dxa"/>
          </w:tcPr>
          <w:p w14:paraId="6C3B7297" w14:textId="77777777" w:rsidR="001D0086" w:rsidRPr="004A055E" w:rsidRDefault="001D0086" w:rsidP="004A055E">
            <w:pPr>
              <w:rPr>
                <w:lang w:val="en-US"/>
              </w:rPr>
            </w:pPr>
            <w:r w:rsidRPr="004A055E">
              <w:rPr>
                <w:lang w:val="en-US"/>
              </w:rPr>
              <w:t>55.4%</w:t>
            </w:r>
          </w:p>
        </w:tc>
      </w:tr>
      <w:tr w:rsidR="001D0086" w:rsidRPr="004A055E" w14:paraId="2EE99464" w14:textId="77777777" w:rsidTr="00DD389A">
        <w:tc>
          <w:tcPr>
            <w:tcW w:w="5374" w:type="dxa"/>
          </w:tcPr>
          <w:p w14:paraId="27D208D8" w14:textId="77777777" w:rsidR="001D0086" w:rsidRPr="004A055E" w:rsidRDefault="001D0086" w:rsidP="004A055E">
            <w:pPr>
              <w:rPr>
                <w:lang w:val="en-US"/>
              </w:rPr>
            </w:pPr>
            <w:r w:rsidRPr="004A055E">
              <w:rPr>
                <w:lang w:val="en-US"/>
              </w:rPr>
              <w:t>Percentage of adults (aged 18+) classified as overweight or obese</w:t>
            </w:r>
          </w:p>
        </w:tc>
        <w:tc>
          <w:tcPr>
            <w:tcW w:w="1203" w:type="dxa"/>
          </w:tcPr>
          <w:p w14:paraId="3FAA0269" w14:textId="77777777" w:rsidR="001D0086" w:rsidRPr="004A055E" w:rsidRDefault="001D0086" w:rsidP="004A055E">
            <w:pPr>
              <w:rPr>
                <w:lang w:val="en-US"/>
              </w:rPr>
            </w:pPr>
            <w:r w:rsidRPr="004A055E">
              <w:rPr>
                <w:lang w:val="en-US"/>
              </w:rPr>
              <w:t>53.7%</w:t>
            </w:r>
          </w:p>
        </w:tc>
        <w:tc>
          <w:tcPr>
            <w:tcW w:w="1193" w:type="dxa"/>
          </w:tcPr>
          <w:p w14:paraId="782B5BF8" w14:textId="77777777" w:rsidR="001D0086" w:rsidRPr="004A055E" w:rsidRDefault="001D0086" w:rsidP="004A055E">
            <w:pPr>
              <w:rPr>
                <w:lang w:val="en-US"/>
              </w:rPr>
            </w:pPr>
            <w:r w:rsidRPr="004A055E">
              <w:rPr>
                <w:lang w:val="en-US"/>
              </w:rPr>
              <w:t>55.7%</w:t>
            </w:r>
          </w:p>
        </w:tc>
        <w:tc>
          <w:tcPr>
            <w:tcW w:w="1246" w:type="dxa"/>
          </w:tcPr>
          <w:p w14:paraId="32743387" w14:textId="77777777" w:rsidR="001D0086" w:rsidRPr="004A055E" w:rsidRDefault="001D0086" w:rsidP="00DF0AB6">
            <w:pPr>
              <w:keepNext/>
              <w:rPr>
                <w:lang w:val="en-US"/>
              </w:rPr>
            </w:pPr>
            <w:r w:rsidRPr="004A055E">
              <w:rPr>
                <w:lang w:val="en-US"/>
              </w:rPr>
              <w:t>62.8%</w:t>
            </w:r>
          </w:p>
        </w:tc>
      </w:tr>
    </w:tbl>
    <w:p w14:paraId="1FE1B307" w14:textId="0A27C913" w:rsidR="00DF0AB6" w:rsidRDefault="00DF0AB6">
      <w:pPr>
        <w:pStyle w:val="Caption"/>
      </w:pPr>
      <w:r>
        <w:t xml:space="preserve">Table </w:t>
      </w:r>
      <w:r>
        <w:fldChar w:fldCharType="begin"/>
      </w:r>
      <w:r>
        <w:instrText xml:space="preserve"> SEQ Table \* ARABIC </w:instrText>
      </w:r>
      <w:r>
        <w:fldChar w:fldCharType="separate"/>
      </w:r>
      <w:r w:rsidR="00195691">
        <w:rPr>
          <w:noProof/>
        </w:rPr>
        <w:t>2</w:t>
      </w:r>
      <w:r>
        <w:fldChar w:fldCharType="end"/>
      </w:r>
      <w:r>
        <w:t xml:space="preserve">: </w:t>
      </w:r>
      <w:r w:rsidRPr="00F975D8">
        <w:t>Prevalence of Obesity in Tower Hamlets, compared with the London and England average</w:t>
      </w:r>
    </w:p>
    <w:p w14:paraId="47726E41" w14:textId="77777777" w:rsidR="001D0086" w:rsidRPr="004A055E" w:rsidRDefault="001D0086" w:rsidP="004A055E">
      <w:pPr>
        <w:rPr>
          <w:lang w:val="en-US"/>
        </w:rPr>
      </w:pPr>
    </w:p>
    <w:p w14:paraId="0BFC82BE" w14:textId="77777777" w:rsidR="001D0086" w:rsidRPr="004A055E" w:rsidRDefault="001D0086" w:rsidP="00033C01">
      <w:pPr>
        <w:pStyle w:val="Heading2"/>
        <w:rPr>
          <w:lang w:val="en-US"/>
        </w:rPr>
      </w:pPr>
      <w:r w:rsidRPr="004A055E">
        <w:rPr>
          <w:lang w:val="en-US"/>
        </w:rPr>
        <w:t>2.2 Healthy weight and its causes</w:t>
      </w:r>
    </w:p>
    <w:p w14:paraId="71305F4E" w14:textId="77777777" w:rsidR="001D0086" w:rsidRPr="004A055E" w:rsidRDefault="001D0086" w:rsidP="004A055E">
      <w:pPr>
        <w:rPr>
          <w:lang w:val="en-US"/>
        </w:rPr>
      </w:pPr>
    </w:p>
    <w:p w14:paraId="67C51A96" w14:textId="77777777" w:rsidR="001D0086" w:rsidRPr="004A055E" w:rsidRDefault="001D0086" w:rsidP="004A055E">
      <w:pPr>
        <w:rPr>
          <w:lang w:val="en-US"/>
        </w:rPr>
      </w:pPr>
      <w:r w:rsidRPr="004A055E">
        <w:rPr>
          <w:lang w:val="en-US"/>
        </w:rPr>
        <w:t xml:space="preserve">Although there may be other causes, healthy weight </w:t>
      </w:r>
      <w:r w:rsidRPr="004A055E">
        <w:rPr>
          <w:b/>
          <w:bCs/>
          <w:lang w:val="en-US"/>
        </w:rPr>
        <w:t xml:space="preserve">is generally caused by individuals eating too many of the foods that damage health and moving too little. </w:t>
      </w:r>
      <w:r w:rsidRPr="004A055E">
        <w:rPr>
          <w:lang w:val="en-US"/>
        </w:rPr>
        <w:t xml:space="preserve">The development of obesity is gradual, and often results from </w:t>
      </w:r>
      <w:proofErr w:type="gramStart"/>
      <w:r w:rsidRPr="004A055E">
        <w:rPr>
          <w:lang w:val="en-US"/>
        </w:rPr>
        <w:t>a number of</w:t>
      </w:r>
      <w:proofErr w:type="gramEnd"/>
      <w:r w:rsidRPr="004A055E">
        <w:rPr>
          <w:lang w:val="en-US"/>
        </w:rPr>
        <w:t xml:space="preserve"> poor diet and inactivity over time. Some examples of these include eating large amounts of processed or fast food that is high in fat and sugar, excessive alcohol consumption, eating excessive portion sizes, drinking too many sugary drinks and eating to improve mood (comfort eating).</w:t>
      </w:r>
      <w:r w:rsidRPr="004A055E">
        <w:rPr>
          <w:vertAlign w:val="superscript"/>
          <w:lang w:val="en-US"/>
        </w:rPr>
        <w:endnoteReference w:id="18"/>
      </w:r>
      <w:r w:rsidRPr="004A055E">
        <w:rPr>
          <w:lang w:val="en-US"/>
        </w:rPr>
        <w:t xml:space="preserve">  </w:t>
      </w:r>
    </w:p>
    <w:p w14:paraId="0F99D206" w14:textId="77777777" w:rsidR="001D0086" w:rsidRPr="004A055E" w:rsidRDefault="001D0086" w:rsidP="004A055E">
      <w:pPr>
        <w:rPr>
          <w:lang w:val="en-US"/>
        </w:rPr>
      </w:pPr>
      <w:r w:rsidRPr="004A055E">
        <w:rPr>
          <w:lang w:val="en-US"/>
        </w:rPr>
        <w:t xml:space="preserve">As well as individual factors that contribute to healthy </w:t>
      </w:r>
      <w:proofErr w:type="gramStart"/>
      <w:r w:rsidRPr="004A055E">
        <w:rPr>
          <w:lang w:val="en-US"/>
        </w:rPr>
        <w:t>weight ,</w:t>
      </w:r>
      <w:proofErr w:type="gramEnd"/>
      <w:r w:rsidRPr="004A055E">
        <w:rPr>
          <w:lang w:val="en-US"/>
        </w:rPr>
        <w:t xml:space="preserve"> some have described an obesogenic environment which contributes to healthy weight risk, with: </w:t>
      </w:r>
    </w:p>
    <w:p w14:paraId="1B1AE861" w14:textId="77777777" w:rsidR="001D0086" w:rsidRPr="004A055E" w:rsidRDefault="001D0086" w:rsidP="006E7A5D">
      <w:pPr>
        <w:numPr>
          <w:ilvl w:val="0"/>
          <w:numId w:val="3"/>
        </w:numPr>
        <w:rPr>
          <w:lang w:val="en-US"/>
        </w:rPr>
      </w:pPr>
      <w:r w:rsidRPr="004A055E">
        <w:rPr>
          <w:lang w:val="en-US"/>
        </w:rPr>
        <w:t>Changes in food production that have resulted in unhealthy and processed food becoming cheaper, available in larger portions, tastier and more calorific</w:t>
      </w:r>
      <w:r w:rsidRPr="004A055E">
        <w:rPr>
          <w:vertAlign w:val="superscript"/>
          <w:lang w:val="en-US"/>
        </w:rPr>
        <w:endnoteReference w:id="19"/>
      </w:r>
    </w:p>
    <w:p w14:paraId="72518D8E" w14:textId="77777777" w:rsidR="001D0086" w:rsidRPr="004A055E" w:rsidRDefault="001D0086" w:rsidP="006E7A5D">
      <w:pPr>
        <w:numPr>
          <w:ilvl w:val="0"/>
          <w:numId w:val="3"/>
        </w:numPr>
        <w:rPr>
          <w:lang w:val="en-US"/>
        </w:rPr>
      </w:pPr>
      <w:r w:rsidRPr="004A055E">
        <w:rPr>
          <w:lang w:val="en-US"/>
        </w:rPr>
        <w:t>People eating outside of the home more often</w:t>
      </w:r>
      <w:r w:rsidRPr="004A055E">
        <w:rPr>
          <w:vertAlign w:val="superscript"/>
          <w:lang w:val="en-US"/>
        </w:rPr>
        <w:endnoteReference w:id="20"/>
      </w:r>
    </w:p>
    <w:p w14:paraId="3DB062E4" w14:textId="77777777" w:rsidR="001D0086" w:rsidRPr="004A055E" w:rsidRDefault="001D0086" w:rsidP="006E7A5D">
      <w:pPr>
        <w:numPr>
          <w:ilvl w:val="0"/>
          <w:numId w:val="3"/>
        </w:numPr>
        <w:rPr>
          <w:lang w:val="en-US"/>
        </w:rPr>
      </w:pPr>
      <w:r w:rsidRPr="004A055E">
        <w:rPr>
          <w:lang w:val="en-US"/>
        </w:rPr>
        <w:lastRenderedPageBreak/>
        <w:t xml:space="preserve">Increased </w:t>
      </w:r>
      <w:proofErr w:type="spellStart"/>
      <w:r w:rsidRPr="004A055E">
        <w:rPr>
          <w:lang w:val="en-US"/>
        </w:rPr>
        <w:t>motorised</w:t>
      </w:r>
      <w:proofErr w:type="spellEnd"/>
      <w:r w:rsidRPr="004A055E">
        <w:rPr>
          <w:lang w:val="en-US"/>
        </w:rPr>
        <w:t xml:space="preserve"> transport</w:t>
      </w:r>
      <w:r w:rsidRPr="004A055E">
        <w:rPr>
          <w:vertAlign w:val="superscript"/>
          <w:lang w:val="en-US"/>
        </w:rPr>
        <w:endnoteReference w:id="21"/>
      </w:r>
    </w:p>
    <w:p w14:paraId="32CEAAA8" w14:textId="77777777" w:rsidR="001D0086" w:rsidRPr="004A055E" w:rsidRDefault="001D0086" w:rsidP="006E7A5D">
      <w:pPr>
        <w:numPr>
          <w:ilvl w:val="0"/>
          <w:numId w:val="3"/>
        </w:numPr>
        <w:rPr>
          <w:lang w:val="en-US"/>
        </w:rPr>
      </w:pPr>
      <w:r w:rsidRPr="004A055E">
        <w:rPr>
          <w:lang w:val="en-US"/>
        </w:rPr>
        <w:t>Sedentary working and living patterns</w:t>
      </w:r>
      <w:r w:rsidRPr="004A055E">
        <w:rPr>
          <w:vertAlign w:val="superscript"/>
          <w:lang w:val="en-US"/>
        </w:rPr>
        <w:endnoteReference w:id="22"/>
      </w:r>
    </w:p>
    <w:p w14:paraId="3D75C31A" w14:textId="77777777" w:rsidR="001D0086" w:rsidRPr="004A055E" w:rsidRDefault="001D0086" w:rsidP="006E7A5D">
      <w:pPr>
        <w:numPr>
          <w:ilvl w:val="0"/>
          <w:numId w:val="3"/>
        </w:numPr>
        <w:rPr>
          <w:lang w:val="en-US"/>
        </w:rPr>
      </w:pPr>
      <w:r w:rsidRPr="004A055E">
        <w:rPr>
          <w:lang w:val="en-US"/>
        </w:rPr>
        <w:t>Over proliferation of fast-food outlets</w:t>
      </w:r>
      <w:r w:rsidRPr="004A055E">
        <w:rPr>
          <w:vertAlign w:val="superscript"/>
          <w:lang w:val="en-US"/>
        </w:rPr>
        <w:endnoteReference w:id="23"/>
      </w:r>
      <w:r w:rsidRPr="004A055E">
        <w:rPr>
          <w:lang w:val="en-US"/>
        </w:rPr>
        <w:t xml:space="preserve"> </w:t>
      </w:r>
    </w:p>
    <w:p w14:paraId="69CA8EA4" w14:textId="77777777" w:rsidR="001D0086" w:rsidRPr="004A055E" w:rsidRDefault="001D0086" w:rsidP="006E7A5D">
      <w:pPr>
        <w:numPr>
          <w:ilvl w:val="0"/>
          <w:numId w:val="3"/>
        </w:numPr>
        <w:rPr>
          <w:lang w:val="en-US"/>
        </w:rPr>
      </w:pPr>
      <w:r w:rsidRPr="004A055E">
        <w:rPr>
          <w:lang w:val="en-US"/>
        </w:rPr>
        <w:t>Advertising of foods high in fat, salt and sugar</w:t>
      </w:r>
      <w:r w:rsidRPr="004A055E">
        <w:rPr>
          <w:vertAlign w:val="superscript"/>
          <w:lang w:val="en-US"/>
        </w:rPr>
        <w:endnoteReference w:id="24"/>
      </w:r>
      <w:r w:rsidRPr="004A055E">
        <w:rPr>
          <w:lang w:val="en-US"/>
        </w:rPr>
        <w:t xml:space="preserve"> </w:t>
      </w:r>
    </w:p>
    <w:p w14:paraId="1ACF0D63" w14:textId="77777777" w:rsidR="001D0086" w:rsidRPr="004A055E" w:rsidRDefault="001D0086" w:rsidP="006E7A5D">
      <w:pPr>
        <w:numPr>
          <w:ilvl w:val="0"/>
          <w:numId w:val="3"/>
        </w:numPr>
        <w:rPr>
          <w:lang w:val="en-US"/>
        </w:rPr>
      </w:pPr>
      <w:r w:rsidRPr="004A055E">
        <w:rPr>
          <w:lang w:val="en-US"/>
        </w:rPr>
        <w:t>Socio-economic deprivation</w:t>
      </w:r>
      <w:r w:rsidRPr="004A055E">
        <w:rPr>
          <w:vertAlign w:val="superscript"/>
          <w:lang w:val="en-US"/>
        </w:rPr>
        <w:endnoteReference w:id="25"/>
      </w:r>
      <w:r w:rsidRPr="004A055E">
        <w:rPr>
          <w:lang w:val="en-US"/>
        </w:rPr>
        <w:t xml:space="preserve"> </w:t>
      </w:r>
    </w:p>
    <w:p w14:paraId="14414058" w14:textId="77777777" w:rsidR="001D0086" w:rsidRPr="004A055E" w:rsidRDefault="001D0086" w:rsidP="004A055E">
      <w:pPr>
        <w:rPr>
          <w:lang w:val="en-US"/>
        </w:rPr>
      </w:pPr>
      <w:r w:rsidRPr="004A055E">
        <w:rPr>
          <w:lang w:val="en-US"/>
        </w:rPr>
        <w:t>To achieve healthy weight, a long-term whole system approach is needed, with measures that begin prenatally and carry on throughout the life course. Approaches will only be effective if initiatives to support individual action are combined with action to address the underlying environmental factors. As well as providing residents with the knowledge, skills and opportunities to eat healthily and undertake physical activity, we crucially need to create an environment that makes it easier for people to make healthy choices.</w:t>
      </w:r>
    </w:p>
    <w:p w14:paraId="264E3E58" w14:textId="77777777" w:rsidR="001D0086" w:rsidRPr="004A055E" w:rsidRDefault="001D0086" w:rsidP="004A055E">
      <w:pPr>
        <w:rPr>
          <w:lang w:val="en-US"/>
        </w:rPr>
      </w:pPr>
    </w:p>
    <w:p w14:paraId="253E5D37" w14:textId="77777777" w:rsidR="00AF57D1" w:rsidRDefault="001D0086" w:rsidP="00AF57D1">
      <w:pPr>
        <w:keepNext/>
        <w:jc w:val="center"/>
      </w:pPr>
      <w:r w:rsidRPr="004A055E">
        <w:rPr>
          <w:noProof/>
          <w:lang w:val="en-US"/>
        </w:rPr>
        <w:drawing>
          <wp:inline distT="0" distB="0" distL="0" distR="0" wp14:anchorId="7B02E7DD" wp14:editId="603D5D63">
            <wp:extent cx="4356174" cy="3248167"/>
            <wp:effectExtent l="0" t="0" r="6350" b="9525"/>
            <wp:docPr id="4" name="Picture 4" descr="A Venn Diagram showing the determinants of healthy weight, These are: individual activity, activity environment, individual psychology, food consumption, biology, food production and societal influences. The venn diagram shows overlaps between these determinants and arrows connect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enn Diagram showing the determinants of healthy weight, These are: individual activity, activity environment, individual psychology, food consumption, biology, food production and societal influences. The venn diagram shows overlaps between these determinants and arrows connecting th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6174" cy="3248167"/>
                    </a:xfrm>
                    <a:prstGeom prst="rect">
                      <a:avLst/>
                    </a:prstGeom>
                    <a:noFill/>
                  </pic:spPr>
                </pic:pic>
              </a:graphicData>
            </a:graphic>
          </wp:inline>
        </w:drawing>
      </w:r>
    </w:p>
    <w:p w14:paraId="14B7E5BE" w14:textId="4C573BBF" w:rsidR="000C1ABB" w:rsidRDefault="00AF57D1" w:rsidP="00AF57D1">
      <w:pPr>
        <w:pStyle w:val="Caption"/>
        <w:jc w:val="center"/>
        <w:rPr>
          <w:lang w:val="en-US"/>
        </w:rPr>
      </w:pPr>
      <w:r>
        <w:t xml:space="preserve">Figure </w:t>
      </w:r>
      <w:r>
        <w:fldChar w:fldCharType="begin"/>
      </w:r>
      <w:r>
        <w:instrText xml:space="preserve"> SEQ Figure \* ARABIC </w:instrText>
      </w:r>
      <w:r>
        <w:fldChar w:fldCharType="separate"/>
      </w:r>
      <w:r w:rsidR="00195691">
        <w:rPr>
          <w:noProof/>
        </w:rPr>
        <w:t>1</w:t>
      </w:r>
      <w:r>
        <w:fldChar w:fldCharType="end"/>
      </w:r>
      <w:r>
        <w:t xml:space="preserve">: </w:t>
      </w:r>
      <w:r w:rsidRPr="00320769">
        <w:t>The government’s healthy weight system map with thematic clusters.</w:t>
      </w:r>
    </w:p>
    <w:p w14:paraId="469E50F5" w14:textId="5A5547FF" w:rsidR="001D0086" w:rsidRPr="004A055E" w:rsidRDefault="001D0086" w:rsidP="00033C01">
      <w:pPr>
        <w:pStyle w:val="Heading2"/>
        <w:rPr>
          <w:lang w:val="en-US"/>
        </w:rPr>
      </w:pPr>
      <w:r w:rsidRPr="004A055E">
        <w:rPr>
          <w:lang w:val="en-US"/>
        </w:rPr>
        <w:t xml:space="preserve">2.3 Tower Hamlets Healthy Weight </w:t>
      </w:r>
      <w:proofErr w:type="spellStart"/>
      <w:r w:rsidRPr="004A055E">
        <w:rPr>
          <w:lang w:val="en-US"/>
        </w:rPr>
        <w:t>Programme</w:t>
      </w:r>
      <w:proofErr w:type="spellEnd"/>
      <w:r w:rsidRPr="004A055E">
        <w:rPr>
          <w:lang w:val="en-US"/>
        </w:rPr>
        <w:t xml:space="preserve"> </w:t>
      </w:r>
    </w:p>
    <w:p w14:paraId="429495E7" w14:textId="77777777" w:rsidR="001D0086" w:rsidRPr="004A055E" w:rsidRDefault="001D0086" w:rsidP="004A055E">
      <w:pPr>
        <w:rPr>
          <w:color w:val="000000" w:themeColor="text1"/>
          <w:lang w:val="en-US"/>
        </w:rPr>
      </w:pPr>
    </w:p>
    <w:p w14:paraId="5947A305" w14:textId="77777777" w:rsidR="001D0086" w:rsidRPr="004A055E" w:rsidRDefault="001D0086" w:rsidP="004A055E">
      <w:pPr>
        <w:rPr>
          <w:rFonts w:eastAsia="Calibri"/>
          <w:sz w:val="22"/>
          <w:szCs w:val="22"/>
          <w:lang w:val="en-US"/>
        </w:rPr>
      </w:pPr>
      <w:r w:rsidRPr="004A055E">
        <w:rPr>
          <w:rFonts w:eastAsia="Calibri"/>
          <w:sz w:val="22"/>
          <w:szCs w:val="22"/>
          <w:lang w:val="en-US"/>
        </w:rPr>
        <w:t xml:space="preserve">In Tower Hamlets, we apply a whole systems approach that enables coordinated long-term action to address factors that cause or contribute to unhealthy weight levels and aims to promote healthy weight levels locally. Our approach </w:t>
      </w:r>
      <w:proofErr w:type="spellStart"/>
      <w:r w:rsidRPr="004A055E">
        <w:rPr>
          <w:rFonts w:eastAsia="Calibri"/>
          <w:sz w:val="22"/>
          <w:szCs w:val="22"/>
          <w:lang w:val="en-US"/>
        </w:rPr>
        <w:t>emphasises</w:t>
      </w:r>
      <w:proofErr w:type="spellEnd"/>
      <w:r w:rsidRPr="004A055E">
        <w:rPr>
          <w:rFonts w:eastAsia="Calibri"/>
          <w:sz w:val="22"/>
          <w:szCs w:val="22"/>
          <w:lang w:val="en-US"/>
        </w:rPr>
        <w:t xml:space="preserve"> the importance of partnership working to deliver high quality support to residents and covers </w:t>
      </w:r>
      <w:proofErr w:type="gramStart"/>
      <w:r w:rsidRPr="004A055E">
        <w:rPr>
          <w:rFonts w:eastAsia="Calibri"/>
          <w:sz w:val="22"/>
          <w:szCs w:val="22"/>
          <w:lang w:val="en-US"/>
        </w:rPr>
        <w:t>a number of</w:t>
      </w:r>
      <w:proofErr w:type="gramEnd"/>
      <w:r w:rsidRPr="004A055E">
        <w:rPr>
          <w:rFonts w:eastAsia="Calibri"/>
          <w:sz w:val="22"/>
          <w:szCs w:val="22"/>
          <w:lang w:val="en-US"/>
        </w:rPr>
        <w:t xml:space="preserve"> different levels – tackling socio-economic, cultural, and environmental issues to enable residents to live healthy lives and maintain a healthy weight.  </w:t>
      </w:r>
    </w:p>
    <w:p w14:paraId="2C45EA6F" w14:textId="77777777" w:rsidR="001D0086" w:rsidRPr="004A055E" w:rsidRDefault="001D0086" w:rsidP="004A055E">
      <w:pPr>
        <w:rPr>
          <w:rFonts w:eastAsia="Calibri"/>
          <w:sz w:val="22"/>
          <w:szCs w:val="22"/>
          <w:lang w:val="en-US"/>
        </w:rPr>
      </w:pPr>
      <w:r w:rsidRPr="004A055E">
        <w:rPr>
          <w:rFonts w:eastAsia="Calibri"/>
          <w:sz w:val="22"/>
          <w:szCs w:val="22"/>
          <w:lang w:val="en-US"/>
        </w:rPr>
        <w:t xml:space="preserve">Our current borough-wide priorities fall under the following three </w:t>
      </w:r>
      <w:proofErr w:type="gramStart"/>
      <w:r w:rsidRPr="004A055E">
        <w:rPr>
          <w:rFonts w:eastAsia="Calibri"/>
          <w:sz w:val="22"/>
          <w:szCs w:val="22"/>
          <w:lang w:val="en-US"/>
        </w:rPr>
        <w:t>themes;</w:t>
      </w:r>
      <w:proofErr w:type="gramEnd"/>
      <w:r w:rsidRPr="004A055E">
        <w:rPr>
          <w:rFonts w:eastAsia="Calibri"/>
          <w:sz w:val="22"/>
          <w:szCs w:val="22"/>
          <w:lang w:val="en-US"/>
        </w:rPr>
        <w:t xml:space="preserve"> Healthy Places, Healthy Settings and Healthy Services. </w:t>
      </w:r>
    </w:p>
    <w:p w14:paraId="113F6238" w14:textId="77777777" w:rsidR="001D0086" w:rsidRPr="004A055E" w:rsidRDefault="001D0086" w:rsidP="004A055E">
      <w:pPr>
        <w:rPr>
          <w:rFonts w:eastAsia="Calibri"/>
          <w:sz w:val="22"/>
          <w:szCs w:val="22"/>
          <w:lang w:val="en-US"/>
        </w:rPr>
      </w:pPr>
      <w:r w:rsidRPr="004A055E">
        <w:rPr>
          <w:rFonts w:eastAsia="Calibri"/>
          <w:sz w:val="22"/>
          <w:szCs w:val="22"/>
          <w:lang w:val="en-US"/>
        </w:rPr>
        <w:lastRenderedPageBreak/>
        <w:t xml:space="preserve">Under Healthy Places we are taking environmental-level actions to address spatial planning, regeneration, play, advertising as well as fast food. The aim is to design a living environment that is conducive to good health by making the healthier choice easier and more accessible. </w:t>
      </w:r>
    </w:p>
    <w:p w14:paraId="47A7B32B" w14:textId="77777777" w:rsidR="001D0086" w:rsidRPr="004A055E" w:rsidRDefault="001D0086" w:rsidP="000C1ABB">
      <w:pPr>
        <w:rPr>
          <w:lang w:val="en-US"/>
        </w:rPr>
      </w:pPr>
    </w:p>
    <w:p w14:paraId="079154A3" w14:textId="77777777" w:rsidR="001D0086" w:rsidRPr="004A055E" w:rsidRDefault="001D0086" w:rsidP="00033C01">
      <w:pPr>
        <w:pStyle w:val="Heading2"/>
        <w:rPr>
          <w:lang w:val="en-US"/>
        </w:rPr>
      </w:pPr>
      <w:r w:rsidRPr="004A055E">
        <w:rPr>
          <w:lang w:val="en-US"/>
        </w:rPr>
        <w:t>2.4 Healthy Eating and Exercise</w:t>
      </w:r>
    </w:p>
    <w:p w14:paraId="6D68A6C9" w14:textId="77777777" w:rsidR="001D0086" w:rsidRPr="004A055E" w:rsidRDefault="001D0086" w:rsidP="004A055E">
      <w:pPr>
        <w:rPr>
          <w:lang w:val="en-US"/>
        </w:rPr>
      </w:pPr>
    </w:p>
    <w:p w14:paraId="62D3685A" w14:textId="77777777" w:rsidR="001D0086" w:rsidRPr="004A055E" w:rsidRDefault="001D0086" w:rsidP="004A055E">
      <w:pPr>
        <w:rPr>
          <w:lang w:val="en-US"/>
        </w:rPr>
      </w:pPr>
      <w:r w:rsidRPr="004A055E">
        <w:rPr>
          <w:lang w:val="en-US"/>
        </w:rPr>
        <w:t>A healthy diet is one that is rich in vegetables, pulses, fruits, nuts and whole grains. Modest portions of lean meat, poultry, white and oily fish, soya foods, dairy products and healthy oils also play an important role in a healthy diet, as they are low in saturated fat and rich in a range of other essential nutrients.</w:t>
      </w:r>
    </w:p>
    <w:p w14:paraId="63571DEF" w14:textId="77777777" w:rsidR="001D0086" w:rsidRPr="004A055E" w:rsidRDefault="001D0086" w:rsidP="004A055E">
      <w:pPr>
        <w:rPr>
          <w:lang w:val="en-US"/>
        </w:rPr>
      </w:pPr>
      <w:r w:rsidRPr="004A055E">
        <w:rPr>
          <w:lang w:val="en-US"/>
        </w:rPr>
        <w:t xml:space="preserve">What we eat has a profound effect on our health. Poor diet has been acknowledged as a risk factor for healthy weight, some cancers, type 2 diabetes and cardiovascular disease. Poor nutrition can also have a damaging and lasting impact on mood, mental health, cognitive ability and </w:t>
      </w:r>
      <w:proofErr w:type="spellStart"/>
      <w:r w:rsidRPr="004A055E">
        <w:rPr>
          <w:lang w:val="en-US"/>
        </w:rPr>
        <w:t>behaviour</w:t>
      </w:r>
      <w:proofErr w:type="spellEnd"/>
      <w:r w:rsidRPr="004A055E">
        <w:rPr>
          <w:lang w:val="en-US"/>
        </w:rPr>
        <w:t xml:space="preserve">. Evidence suggests the need for healthy nutrition to ensure children and adolescents </w:t>
      </w:r>
      <w:proofErr w:type="gramStart"/>
      <w:r w:rsidRPr="004A055E">
        <w:rPr>
          <w:lang w:val="en-US"/>
        </w:rPr>
        <w:t>are able to</w:t>
      </w:r>
      <w:proofErr w:type="gramEnd"/>
      <w:r w:rsidRPr="004A055E">
        <w:rPr>
          <w:lang w:val="en-US"/>
        </w:rPr>
        <w:t xml:space="preserve"> perform optimally, physically and mentally. Too many calories from health damaging foods than the body requires can lead to weight gain and, over time,</w:t>
      </w:r>
      <w:r w:rsidRPr="004A055E">
        <w:t xml:space="preserve"> </w:t>
      </w:r>
      <w:r w:rsidRPr="004A055E">
        <w:rPr>
          <w:lang w:val="en-US"/>
        </w:rPr>
        <w:t>healthy weight. This is more likely if a person’s diet is high in saturated fat and sugar.</w:t>
      </w:r>
    </w:p>
    <w:p w14:paraId="2024407A" w14:textId="77777777" w:rsidR="001D0086" w:rsidRPr="004A055E" w:rsidRDefault="001D0086" w:rsidP="004A055E">
      <w:pPr>
        <w:rPr>
          <w:lang w:val="en-US"/>
        </w:rPr>
      </w:pPr>
      <w:r w:rsidRPr="004A055E">
        <w:rPr>
          <w:lang w:val="en-US"/>
        </w:rPr>
        <w:t>Results from the National Diet and Nutrition Survey indicate that the UK population are consuming above the recommended amount of sugar, saturated fat and salt and not enough portions of fruit and vegetables.</w:t>
      </w:r>
      <w:r w:rsidRPr="004A055E">
        <w:rPr>
          <w:vertAlign w:val="superscript"/>
          <w:lang w:val="en-US"/>
        </w:rPr>
        <w:endnoteReference w:id="26"/>
      </w:r>
      <w:r w:rsidRPr="004A055E">
        <w:rPr>
          <w:lang w:val="en-US"/>
        </w:rPr>
        <w:t xml:space="preserve"> </w:t>
      </w:r>
    </w:p>
    <w:p w14:paraId="29CA5C51" w14:textId="77777777" w:rsidR="001D0086" w:rsidRPr="004A055E" w:rsidRDefault="001D0086" w:rsidP="004A055E">
      <w:pPr>
        <w:rPr>
          <w:lang w:val="en-US"/>
        </w:rPr>
      </w:pPr>
      <w:r w:rsidRPr="004A055E">
        <w:rPr>
          <w:lang w:val="en-US"/>
        </w:rPr>
        <w:t>Individuals who are less physically active reduce their opportunity to use up the energy they consume through food. The extra energy is stored by the body as fat.</w:t>
      </w:r>
      <w:r w:rsidRPr="004A055E">
        <w:rPr>
          <w:vertAlign w:val="superscript"/>
          <w:lang w:val="en-US"/>
        </w:rPr>
        <w:endnoteReference w:id="27"/>
      </w:r>
      <w:r w:rsidRPr="004A055E">
        <w:rPr>
          <w:lang w:val="en-US"/>
        </w:rPr>
        <w:t xml:space="preserve"> The NHS provides guidance on exercise targets which vary according to age and regime type. There are </w:t>
      </w:r>
      <w:proofErr w:type="gramStart"/>
      <w:r w:rsidRPr="004A055E">
        <w:rPr>
          <w:lang w:val="en-US"/>
        </w:rPr>
        <w:t>a number of</w:t>
      </w:r>
      <w:proofErr w:type="gramEnd"/>
      <w:r w:rsidRPr="004A055E">
        <w:rPr>
          <w:lang w:val="en-US"/>
        </w:rPr>
        <w:t xml:space="preserve"> recommended regimes for adults aged 19-64 years, one of which is daily exercise providing 150 minutes of aerobic activity and 2 sessions of strength-based activity over the course of a week.</w:t>
      </w:r>
      <w:r w:rsidRPr="004A055E">
        <w:rPr>
          <w:vertAlign w:val="superscript"/>
          <w:lang w:val="en-US"/>
        </w:rPr>
        <w:endnoteReference w:id="28"/>
      </w:r>
      <w:r w:rsidRPr="004A055E">
        <w:rPr>
          <w:lang w:val="en-US"/>
        </w:rPr>
        <w:t xml:space="preserve"> </w:t>
      </w:r>
    </w:p>
    <w:p w14:paraId="53445AA7" w14:textId="77777777" w:rsidR="001D0086" w:rsidRPr="004A055E" w:rsidRDefault="001D0086" w:rsidP="004A055E">
      <w:pPr>
        <w:rPr>
          <w:lang w:val="en-US"/>
        </w:rPr>
      </w:pPr>
      <w:r w:rsidRPr="004A055E">
        <w:t xml:space="preserve">From November 2018 to November 2019, 63.3% of people in England aged 16 and over were ‘physically active’ – they did 150 minutes or more of moderate intensity physical activity a week. </w:t>
      </w:r>
      <w:r w:rsidRPr="004A055E">
        <w:rPr>
          <w:lang w:val="en-US"/>
        </w:rPr>
        <w:t>People from the Asian ethnic group were less likely than average to be physically active.</w:t>
      </w:r>
      <w:r w:rsidRPr="004A055E">
        <w:rPr>
          <w:vertAlign w:val="superscript"/>
          <w:lang w:val="en-US"/>
        </w:rPr>
        <w:endnoteReference w:id="29"/>
      </w:r>
      <w:r w:rsidRPr="004A055E">
        <w:rPr>
          <w:lang w:val="en-US"/>
        </w:rPr>
        <w:t xml:space="preserve"> This difference is particularly pertinent for Tower Hamlets where there is a sizable Asian population. In Tower Hamlets, only 60.3% of adults are physically active, which is lower than the England average.</w:t>
      </w:r>
      <w:r w:rsidRPr="004A055E">
        <w:rPr>
          <w:vertAlign w:val="superscript"/>
          <w:lang w:val="en-US"/>
        </w:rPr>
        <w:endnoteReference w:id="30"/>
      </w:r>
    </w:p>
    <w:p w14:paraId="0056A099" w14:textId="77777777" w:rsidR="001D0086" w:rsidRPr="004A055E" w:rsidRDefault="001D0086" w:rsidP="00033C01">
      <w:pPr>
        <w:pStyle w:val="Heading2"/>
        <w:rPr>
          <w:lang w:val="en-US"/>
        </w:rPr>
      </w:pPr>
      <w:r w:rsidRPr="004A055E">
        <w:rPr>
          <w:lang w:val="en-US"/>
        </w:rPr>
        <w:t>2.5 Obesogenic Environments</w:t>
      </w:r>
    </w:p>
    <w:p w14:paraId="165BBE97" w14:textId="77777777" w:rsidR="001D0086" w:rsidRPr="004A055E" w:rsidRDefault="001D0086" w:rsidP="004A055E">
      <w:pPr>
        <w:rPr>
          <w:lang w:val="en-US"/>
        </w:rPr>
      </w:pPr>
    </w:p>
    <w:p w14:paraId="58AB5264" w14:textId="77777777" w:rsidR="001D0086" w:rsidRPr="004A055E" w:rsidRDefault="001D0086" w:rsidP="004A055E">
      <w:r w:rsidRPr="004A055E">
        <w:t>In England, most people spend large amounts of their time in built environments, like towns and cities. The food available, neighbourhood design, housing, transport and access to health care and schools are all recognised as key features in promoting health, yet not everyone has equal access to health promoting options.</w:t>
      </w:r>
    </w:p>
    <w:p w14:paraId="3F849CA1" w14:textId="77777777" w:rsidR="001D0086" w:rsidRPr="004A055E" w:rsidRDefault="001D0086" w:rsidP="004A055E">
      <w:r w:rsidRPr="004A055E">
        <w:t xml:space="preserve">Many people find it challenging to eat healthily, primarily because we are living in less than healthy environments, where less healthier food options are the default, making it harder to maintain healthier lifestyles. Meals eaten outside of the home tend to be associated with higher intakes of sugar, fat and salt, and portion sizes tend to be bigger. The increasing consumption of out-of-home meals has been </w:t>
      </w:r>
      <w:r w:rsidRPr="004A055E">
        <w:lastRenderedPageBreak/>
        <w:t>identified as an important factor contributing to rising levels of healthy weight. 1 in 4 out of all eateries in England are fast-food outlets.</w:t>
      </w:r>
      <w:r w:rsidRPr="004A055E">
        <w:rPr>
          <w:vertAlign w:val="superscript"/>
        </w:rPr>
        <w:endnoteReference w:id="31"/>
      </w:r>
    </w:p>
    <w:p w14:paraId="5D79916C" w14:textId="77777777" w:rsidR="001D0086" w:rsidRPr="004A055E" w:rsidRDefault="001D0086" w:rsidP="004A055E">
      <w:r w:rsidRPr="004A055E">
        <w:t>Findings suggest that the strongest determinants of out-of-home food availability are density of food outlets and deprivation within the built environment.</w:t>
      </w:r>
      <w:r w:rsidRPr="004A055E">
        <w:rPr>
          <w:vertAlign w:val="superscript"/>
        </w:rPr>
        <w:endnoteReference w:id="32"/>
      </w:r>
    </w:p>
    <w:p w14:paraId="1BCCBA46" w14:textId="77777777" w:rsidR="001D0086" w:rsidRPr="004A055E" w:rsidRDefault="001D0086" w:rsidP="00033C01">
      <w:pPr>
        <w:pStyle w:val="Subtitle"/>
      </w:pPr>
      <w:r w:rsidRPr="004A055E">
        <w:t>In the national context:</w:t>
      </w:r>
    </w:p>
    <w:p w14:paraId="1812C156" w14:textId="77777777" w:rsidR="001D0086" w:rsidRPr="004A055E" w:rsidRDefault="001D0086" w:rsidP="004A055E">
      <w:pPr>
        <w:rPr>
          <w:lang w:val="en-US"/>
        </w:rPr>
      </w:pPr>
      <w:r w:rsidRPr="004A055E">
        <w:rPr>
          <w:lang w:val="en"/>
        </w:rPr>
        <w:t>T</w:t>
      </w:r>
      <w:r w:rsidRPr="004A055E">
        <w:t>he increasing consumption of out-of-home meals that are often cheap and readily available at all times of the day has been identified as an important factor contributing to rising levels of healthy weight. More than one quarter (27.1%) of adults and one fifth of children in England eat food from out-of-home food outlets at least once a week. These meals tend to be associated with higher energy intake; higher levels of fat, saturated fats, sugar, and salt, and lower levels of micronutrients.</w:t>
      </w:r>
      <w:r w:rsidRPr="004A055E">
        <w:rPr>
          <w:vertAlign w:val="superscript"/>
        </w:rPr>
        <w:endnoteReference w:id="33"/>
      </w:r>
      <w:r w:rsidRPr="004A055E">
        <w:t xml:space="preserve"> </w:t>
      </w:r>
      <w:r w:rsidRPr="004A055E">
        <w:rPr>
          <w:lang w:val="en-US"/>
        </w:rPr>
        <w:t>Food purchased from fast-food outlets and restaurants is up to 65% more ‘energy-dense’ than the average diet.</w:t>
      </w:r>
      <w:r w:rsidRPr="004A055E">
        <w:rPr>
          <w:vertAlign w:val="superscript"/>
          <w:lang w:val="en-US"/>
        </w:rPr>
        <w:endnoteReference w:id="34"/>
      </w:r>
      <w:r w:rsidRPr="004A055E">
        <w:rPr>
          <w:lang w:val="en-US"/>
        </w:rPr>
        <w:t xml:space="preserve"> This means calories will add up quicker which will lead to overeating and weight gain. </w:t>
      </w:r>
      <w:r w:rsidRPr="004A055E">
        <w:rPr>
          <w:lang w:val="en"/>
        </w:rPr>
        <w:t>Analysis from PHE shows the density of fast-food outlets varies per local authority, ranging from 26 to 232 outlets per 100,000 population, with the average across England being 96.5. It provides evidence highlighting the availability of fast-food outlets in some of the country’s most disadvantaged areas.</w:t>
      </w:r>
      <w:r w:rsidRPr="004A055E">
        <w:rPr>
          <w:vertAlign w:val="superscript"/>
          <w:lang w:val="en"/>
        </w:rPr>
        <w:endnoteReference w:id="35"/>
      </w:r>
      <w:r w:rsidRPr="004A055E">
        <w:rPr>
          <w:lang w:val="en"/>
        </w:rPr>
        <w:t xml:space="preserve"> </w:t>
      </w:r>
      <w:r w:rsidRPr="004A055E">
        <w:rPr>
          <w:lang w:val="en-US"/>
        </w:rPr>
        <w:t>An analysis of data from the National Diet and Nutrition Survey indicated that regular takeaway consumption also disproportionately impacted on the daily energy intakes of children from less affluent households.</w:t>
      </w:r>
      <w:r w:rsidRPr="004A055E">
        <w:rPr>
          <w:vertAlign w:val="superscript"/>
          <w:lang w:val="en-US"/>
        </w:rPr>
        <w:endnoteReference w:id="36"/>
      </w:r>
    </w:p>
    <w:p w14:paraId="228FB2AC" w14:textId="77777777" w:rsidR="001D0086" w:rsidRPr="004A055E" w:rsidRDefault="001D0086" w:rsidP="004A055E">
      <w:pPr>
        <w:rPr>
          <w:lang w:val="en-US"/>
        </w:rPr>
      </w:pPr>
      <w:r w:rsidRPr="004A055E">
        <w:rPr>
          <w:lang w:val="en-US"/>
        </w:rPr>
        <w:t>In a West Midlands study 30% of samples exceeded the previously existing children's Guidelines Daily Amount (GDA) for total fat and saturated fat and 27% of salt analyses exceeded the previous salt GDA.</w:t>
      </w:r>
      <w:r w:rsidRPr="004A055E">
        <w:rPr>
          <w:vertAlign w:val="superscript"/>
          <w:lang w:val="en-US"/>
        </w:rPr>
        <w:endnoteReference w:id="37"/>
      </w:r>
      <w:r w:rsidRPr="004A055E">
        <w:rPr>
          <w:lang w:val="en-US"/>
        </w:rPr>
        <w:t xml:space="preserve">  The consumption of fast food has been associated with higher Body Mass Index (BMI) scores, higher body fat scores and increased odds of being obese.</w:t>
      </w:r>
      <w:r w:rsidRPr="004A055E">
        <w:rPr>
          <w:vertAlign w:val="superscript"/>
          <w:lang w:val="en-US"/>
        </w:rPr>
        <w:endnoteReference w:id="38"/>
      </w:r>
      <w:r w:rsidRPr="004A055E">
        <w:rPr>
          <w:lang w:val="en-US"/>
        </w:rPr>
        <w:t xml:space="preserve"> </w:t>
      </w:r>
    </w:p>
    <w:p w14:paraId="7DC62D53" w14:textId="77777777" w:rsidR="001D0086" w:rsidRPr="004A055E" w:rsidRDefault="001D0086" w:rsidP="00033C01">
      <w:pPr>
        <w:pStyle w:val="Subtitle"/>
        <w:rPr>
          <w:lang w:val="en-US"/>
        </w:rPr>
      </w:pPr>
      <w:r w:rsidRPr="004A055E">
        <w:rPr>
          <w:lang w:val="en-US"/>
        </w:rPr>
        <w:t>In Tower Hamlets:</w:t>
      </w:r>
    </w:p>
    <w:p w14:paraId="36C5B5E0" w14:textId="2E642019" w:rsidR="001D0086" w:rsidRPr="004A055E" w:rsidRDefault="001D0086" w:rsidP="004A055E">
      <w:r w:rsidRPr="004A055E">
        <w:t xml:space="preserve">A variety of factors contribute to the high rates of childhood healthy weight in Tower Hamlets including deprivation, lack of green space and the extremely high density of fast-food outlets. Nicknamed “Chicken Mile”; </w:t>
      </w:r>
      <w:r w:rsidR="00AF57D1" w:rsidRPr="004A055E">
        <w:t>Mile End Road</w:t>
      </w:r>
      <w:r w:rsidRPr="004A055E">
        <w:t xml:space="preserve"> in Whitechapel is just one example of many streets in Tower Hamlets overpopulated by fast food businesses.</w:t>
      </w:r>
      <w:r w:rsidRPr="004A055E">
        <w:rPr>
          <w:vertAlign w:val="superscript"/>
        </w:rPr>
        <w:endnoteReference w:id="39"/>
      </w:r>
      <w:r w:rsidRPr="004A055E">
        <w:t xml:space="preserve"> </w:t>
      </w:r>
    </w:p>
    <w:p w14:paraId="59DF1B6E" w14:textId="77777777" w:rsidR="001D0086" w:rsidRPr="004A055E" w:rsidRDefault="001D0086" w:rsidP="004A055E">
      <w:r w:rsidRPr="004A055E">
        <w:t>A study of children in Tower Hamlets found more than 50% purchased food or drinks from fast food/ takeaway outlets twice or more a week, with about 10% consuming it daily.</w:t>
      </w:r>
      <w:r w:rsidRPr="004A055E">
        <w:rPr>
          <w:vertAlign w:val="superscript"/>
        </w:rPr>
        <w:endnoteReference w:id="40"/>
      </w:r>
      <w:r w:rsidRPr="004A055E">
        <w:t xml:space="preserve"> </w:t>
      </w:r>
    </w:p>
    <w:p w14:paraId="5F2C289F" w14:textId="77777777" w:rsidR="001D0086" w:rsidRPr="004A055E" w:rsidRDefault="001D0086" w:rsidP="004A055E">
      <w:pPr>
        <w:rPr>
          <w:lang w:val="en-US"/>
        </w:rPr>
      </w:pPr>
      <w:r w:rsidRPr="004A055E">
        <w:rPr>
          <w:lang w:val="en-US"/>
        </w:rPr>
        <w:t xml:space="preserve">2017 research funded by the council’s Public Health Team and undertaken by ‘Shift design’ mapped and nutritionally profiled restaurants across the borough. The project developed to work closely with restaurants on Burdett Road to capture sales and cost data, co-design in- restaurant interventions to reduced calorie content of meals and test their impact on sales, customer satisfaction and costs. The study’s conclusions included an observation that the competition caused by the overconcentration of fast-food takeaways often negatively impacts upon the nutritional quality of food served. This happens in two ways: 1) restaurant owners often cite large portion size </w:t>
      </w:r>
      <w:proofErr w:type="gramStart"/>
      <w:r w:rsidRPr="004A055E">
        <w:rPr>
          <w:lang w:val="en-US"/>
        </w:rPr>
        <w:t>as a way to</w:t>
      </w:r>
      <w:proofErr w:type="gramEnd"/>
      <w:r w:rsidRPr="004A055E">
        <w:rPr>
          <w:lang w:val="en-US"/>
        </w:rPr>
        <w:t xml:space="preserve"> attract and retain custom; and 2) to compete on price restaurant owners feel pressured to use cheaper ingredients which tend to have higher fat content and/or absorb more fat during cooking. Other studies in the </w:t>
      </w:r>
      <w:r w:rsidRPr="004A055E">
        <w:rPr>
          <w:lang w:val="en-US"/>
        </w:rPr>
        <w:lastRenderedPageBreak/>
        <w:t>borough found examples where chip portions from takeaways had avoidable levels of trans fats that were nearly 90% of GDA.</w:t>
      </w:r>
      <w:r w:rsidRPr="004A055E">
        <w:rPr>
          <w:vertAlign w:val="superscript"/>
          <w:lang w:val="en-US"/>
        </w:rPr>
        <w:endnoteReference w:id="41"/>
      </w:r>
    </w:p>
    <w:p w14:paraId="3C1F378D" w14:textId="77777777" w:rsidR="001D0086" w:rsidRPr="004A055E" w:rsidRDefault="001D0086" w:rsidP="004A055E">
      <w:pPr>
        <w:spacing w:after="0"/>
        <w:outlineLvl w:val="1"/>
        <w:rPr>
          <w:color w:val="000000" w:themeColor="text1"/>
          <w:sz w:val="28"/>
          <w:szCs w:val="28"/>
          <w:u w:val="single"/>
          <w:lang w:val="en-US"/>
        </w:rPr>
      </w:pPr>
    </w:p>
    <w:p w14:paraId="14A2E342" w14:textId="23400CD5" w:rsidR="001D0086" w:rsidRPr="004A055E" w:rsidRDefault="00284CB3" w:rsidP="00284CB3">
      <w:pPr>
        <w:pStyle w:val="Heading1"/>
      </w:pPr>
      <w:r>
        <w:t xml:space="preserve">3. </w:t>
      </w:r>
      <w:r w:rsidR="001D0086" w:rsidRPr="004A055E">
        <w:t>The association between healthy weight and the abundance of hot food takeaways</w:t>
      </w:r>
    </w:p>
    <w:p w14:paraId="47F515F2" w14:textId="77777777" w:rsidR="001D0086" w:rsidRPr="004A055E" w:rsidRDefault="001D0086" w:rsidP="004A055E">
      <w:pPr>
        <w:rPr>
          <w:color w:val="000000" w:themeColor="text1"/>
          <w:lang w:val="en-US"/>
        </w:rPr>
      </w:pPr>
    </w:p>
    <w:p w14:paraId="2057BCE2" w14:textId="77777777" w:rsidR="001D0086" w:rsidRPr="004A055E" w:rsidRDefault="001D0086" w:rsidP="00762083">
      <w:pPr>
        <w:pStyle w:val="Subtitle"/>
        <w:rPr>
          <w:rFonts w:eastAsia="Arial"/>
          <w:lang w:val="en-US"/>
        </w:rPr>
      </w:pPr>
      <w:r w:rsidRPr="004A055E">
        <w:rPr>
          <w:rFonts w:eastAsia="Arial"/>
          <w:lang w:val="en-US"/>
        </w:rPr>
        <w:t>In the national context:</w:t>
      </w:r>
    </w:p>
    <w:p w14:paraId="60F5E704" w14:textId="77777777" w:rsidR="001D0086" w:rsidRPr="004A055E" w:rsidRDefault="001D0086" w:rsidP="006E7A5D">
      <w:pPr>
        <w:numPr>
          <w:ilvl w:val="1"/>
          <w:numId w:val="4"/>
        </w:numPr>
        <w:rPr>
          <w:lang w:val="en-US"/>
        </w:rPr>
      </w:pPr>
      <w:r w:rsidRPr="004A055E">
        <w:rPr>
          <w:lang w:val="en-US"/>
        </w:rPr>
        <w:t xml:space="preserve">Areas where energy-dense foods of low nutritional value are readily available and when there are few opportunities to purchase healthier foods are likely to pose a risk to a population’s dietary health and increase healthy weight levels. </w:t>
      </w:r>
      <w:r w:rsidRPr="004A055E">
        <w:rPr>
          <w:vertAlign w:val="superscript"/>
          <w:lang w:val="en-US"/>
        </w:rPr>
        <w:endnoteReference w:id="42"/>
      </w:r>
    </w:p>
    <w:p w14:paraId="54AC7824" w14:textId="77777777" w:rsidR="001D0086" w:rsidRPr="004A055E" w:rsidRDefault="001D0086" w:rsidP="006E7A5D">
      <w:pPr>
        <w:numPr>
          <w:ilvl w:val="1"/>
          <w:numId w:val="4"/>
        </w:numPr>
        <w:rPr>
          <w:lang w:val="en-US"/>
        </w:rPr>
      </w:pPr>
      <w:r w:rsidRPr="004A055E">
        <w:rPr>
          <w:lang w:val="en-US"/>
        </w:rPr>
        <w:t>Exposure to areas with a high density of take away outlets is associated with excess consumption of takeaway foods and excess body weight.</w:t>
      </w:r>
      <w:r w:rsidRPr="004A055E">
        <w:rPr>
          <w:vertAlign w:val="superscript"/>
          <w:lang w:val="en-US"/>
        </w:rPr>
        <w:endnoteReference w:id="43"/>
      </w:r>
      <w:r w:rsidRPr="004A055E">
        <w:rPr>
          <w:lang w:val="en-US"/>
        </w:rPr>
        <w:t xml:space="preserve"> </w:t>
      </w:r>
    </w:p>
    <w:p w14:paraId="7789E84C" w14:textId="77777777" w:rsidR="001D0086" w:rsidRPr="004A055E" w:rsidRDefault="001D0086" w:rsidP="006E7A5D">
      <w:pPr>
        <w:numPr>
          <w:ilvl w:val="1"/>
          <w:numId w:val="4"/>
        </w:numPr>
        <w:rPr>
          <w:lang w:val="en-US"/>
        </w:rPr>
      </w:pPr>
      <w:r w:rsidRPr="004A055E">
        <w:rPr>
          <w:lang w:val="en-US"/>
        </w:rPr>
        <w:t>Analysis from PHE shows the density of fast-food outlets varies per local authority, ranging from 26 to 232 outlets per 100,000 population, with the average across England being 96.5. It provides evidence highlighting the availability of fast-food outlets in some of the country’s most disadvantaged areas.</w:t>
      </w:r>
      <w:r w:rsidRPr="004A055E">
        <w:rPr>
          <w:vertAlign w:val="superscript"/>
          <w:lang w:val="en-US"/>
        </w:rPr>
        <w:endnoteReference w:id="44"/>
      </w:r>
    </w:p>
    <w:p w14:paraId="00A1A90B" w14:textId="77777777" w:rsidR="001D0086" w:rsidRPr="004A055E" w:rsidRDefault="001D0086" w:rsidP="006E7A5D">
      <w:pPr>
        <w:numPr>
          <w:ilvl w:val="1"/>
          <w:numId w:val="4"/>
        </w:numPr>
        <w:rPr>
          <w:lang w:val="en-US"/>
        </w:rPr>
      </w:pPr>
      <w:r w:rsidRPr="004A055E">
        <w:rPr>
          <w:lang w:val="en-US"/>
        </w:rPr>
        <w:t>The disproportionate concentration of takeaway outlets in poorer areas – like Tower Hamlets - risks reinforcing inequalities in diet and healthy weight, with those living in unhealthy neighborhoods finding it more difficult to make healthy food choices.</w:t>
      </w:r>
      <w:r w:rsidRPr="004A055E">
        <w:rPr>
          <w:vertAlign w:val="superscript"/>
          <w:lang w:val="en-US"/>
        </w:rPr>
        <w:endnoteReference w:id="45"/>
      </w:r>
      <w:r w:rsidRPr="004A055E">
        <w:rPr>
          <w:lang w:val="en-US"/>
        </w:rPr>
        <w:t xml:space="preserve"> </w:t>
      </w:r>
    </w:p>
    <w:p w14:paraId="54DEC12B" w14:textId="77777777" w:rsidR="001D0086" w:rsidRPr="004A055E" w:rsidRDefault="001D0086" w:rsidP="004A055E">
      <w:pPr>
        <w:rPr>
          <w:lang w:val="en-US"/>
        </w:rPr>
      </w:pPr>
    </w:p>
    <w:p w14:paraId="00A574FA" w14:textId="77777777" w:rsidR="001D0086" w:rsidRPr="004A055E" w:rsidRDefault="001D0086" w:rsidP="00762083">
      <w:pPr>
        <w:pStyle w:val="Subtitle"/>
        <w:rPr>
          <w:rFonts w:eastAsia="Arial"/>
          <w:lang w:val="en-US"/>
        </w:rPr>
      </w:pPr>
      <w:r w:rsidRPr="004A055E">
        <w:rPr>
          <w:rFonts w:eastAsia="Arial"/>
          <w:lang w:val="en-US"/>
        </w:rPr>
        <w:t>In Tower Hamlets:</w:t>
      </w:r>
    </w:p>
    <w:p w14:paraId="66855E67" w14:textId="77777777" w:rsidR="001D0086" w:rsidRPr="004A055E" w:rsidRDefault="001D0086" w:rsidP="006E7A5D">
      <w:pPr>
        <w:numPr>
          <w:ilvl w:val="1"/>
          <w:numId w:val="4"/>
        </w:numPr>
        <w:rPr>
          <w:lang w:val="en-US"/>
        </w:rPr>
      </w:pPr>
      <w:r w:rsidRPr="004A055E">
        <w:rPr>
          <w:lang w:val="en-US"/>
        </w:rPr>
        <w:t xml:space="preserve">There </w:t>
      </w:r>
      <w:proofErr w:type="gramStart"/>
      <w:r w:rsidRPr="004A055E">
        <w:rPr>
          <w:lang w:val="en-US"/>
        </w:rPr>
        <w:t>are</w:t>
      </w:r>
      <w:proofErr w:type="gramEnd"/>
      <w:r w:rsidRPr="004A055E">
        <w:rPr>
          <w:lang w:val="en-US"/>
        </w:rPr>
        <w:t xml:space="preserve"> a high volume of fast food outlets per school across Tower Hamlets.</w:t>
      </w:r>
    </w:p>
    <w:p w14:paraId="25838F7B" w14:textId="77777777" w:rsidR="001D0086" w:rsidRPr="004A055E" w:rsidRDefault="001D0086" w:rsidP="006E7A5D">
      <w:pPr>
        <w:numPr>
          <w:ilvl w:val="1"/>
          <w:numId w:val="4"/>
        </w:numPr>
        <w:rPr>
          <w:lang w:val="en-US"/>
        </w:rPr>
      </w:pPr>
      <w:r w:rsidRPr="004A055E">
        <w:rPr>
          <w:lang w:val="en-US"/>
        </w:rPr>
        <w:t>97% residents live within ten minutes of a fast-food outlet.</w:t>
      </w:r>
      <w:r w:rsidRPr="004A055E">
        <w:rPr>
          <w:vertAlign w:val="superscript"/>
          <w:lang w:val="en-US"/>
        </w:rPr>
        <w:endnoteReference w:id="46"/>
      </w:r>
    </w:p>
    <w:p w14:paraId="43241C81" w14:textId="77777777" w:rsidR="001D0086" w:rsidRPr="004A055E" w:rsidRDefault="001D0086" w:rsidP="006E7A5D">
      <w:pPr>
        <w:numPr>
          <w:ilvl w:val="1"/>
          <w:numId w:val="4"/>
        </w:numPr>
        <w:rPr>
          <w:lang w:val="en-US"/>
        </w:rPr>
      </w:pPr>
      <w:r w:rsidRPr="004A055E">
        <w:rPr>
          <w:lang w:val="en-US"/>
        </w:rPr>
        <w:t xml:space="preserve">Exposure to fast food restaurants drives up temptation to eat fast food in a variety of ways, including increasing availability, accessibility, and the marketing of foods high in salt, fat </w:t>
      </w:r>
      <w:proofErr w:type="gramStart"/>
      <w:r w:rsidRPr="004A055E">
        <w:rPr>
          <w:lang w:val="en-US"/>
        </w:rPr>
        <w:t>and  sugar</w:t>
      </w:r>
      <w:proofErr w:type="gramEnd"/>
      <w:r w:rsidRPr="004A055E">
        <w:rPr>
          <w:vertAlign w:val="superscript"/>
          <w:lang w:val="en-US"/>
        </w:rPr>
        <w:endnoteReference w:id="47"/>
      </w:r>
    </w:p>
    <w:p w14:paraId="5B664AE4" w14:textId="77777777" w:rsidR="001D0086" w:rsidRPr="004A055E" w:rsidRDefault="001D0086" w:rsidP="006E7A5D">
      <w:pPr>
        <w:numPr>
          <w:ilvl w:val="1"/>
          <w:numId w:val="4"/>
        </w:numPr>
        <w:rPr>
          <w:lang w:val="en-US"/>
        </w:rPr>
      </w:pPr>
      <w:r w:rsidRPr="004A055E">
        <w:rPr>
          <w:lang w:val="en-US"/>
        </w:rPr>
        <w:t>The odds of living within 250 metres of a fast-food outlet in Tower Hamlets increase by:</w:t>
      </w:r>
      <w:r w:rsidRPr="004A055E">
        <w:rPr>
          <w:vertAlign w:val="superscript"/>
          <w:lang w:val="en-US"/>
        </w:rPr>
        <w:endnoteReference w:id="48"/>
      </w:r>
    </w:p>
    <w:p w14:paraId="7E53F859" w14:textId="77777777" w:rsidR="001D0086" w:rsidRPr="004A055E" w:rsidRDefault="001D0086" w:rsidP="006E7A5D">
      <w:pPr>
        <w:numPr>
          <w:ilvl w:val="2"/>
          <w:numId w:val="4"/>
        </w:numPr>
        <w:rPr>
          <w:lang w:val="en-US"/>
        </w:rPr>
      </w:pPr>
      <w:r w:rsidRPr="004A055E">
        <w:rPr>
          <w:lang w:val="en-US"/>
        </w:rPr>
        <w:t xml:space="preserve">times if an individual is in the 16-35 age </w:t>
      </w:r>
      <w:proofErr w:type="gramStart"/>
      <w:r w:rsidRPr="004A055E">
        <w:rPr>
          <w:lang w:val="en-US"/>
        </w:rPr>
        <w:t>group;</w:t>
      </w:r>
      <w:proofErr w:type="gramEnd"/>
    </w:p>
    <w:p w14:paraId="766B6145" w14:textId="77777777" w:rsidR="001D0086" w:rsidRPr="004A055E" w:rsidRDefault="001D0086" w:rsidP="006E7A5D">
      <w:pPr>
        <w:numPr>
          <w:ilvl w:val="2"/>
          <w:numId w:val="4"/>
        </w:numPr>
        <w:rPr>
          <w:lang w:val="en-US"/>
        </w:rPr>
      </w:pPr>
      <w:r w:rsidRPr="004A055E">
        <w:rPr>
          <w:lang w:val="en-US"/>
        </w:rPr>
        <w:t xml:space="preserve"> times if they live in a household on </w:t>
      </w:r>
      <w:proofErr w:type="gramStart"/>
      <w:r w:rsidRPr="004A055E">
        <w:rPr>
          <w:lang w:val="en-US"/>
        </w:rPr>
        <w:t>benefits;</w:t>
      </w:r>
      <w:proofErr w:type="gramEnd"/>
    </w:p>
    <w:p w14:paraId="107F867C" w14:textId="77777777" w:rsidR="001D0086" w:rsidRPr="004A055E" w:rsidRDefault="001D0086" w:rsidP="006E7A5D">
      <w:pPr>
        <w:numPr>
          <w:ilvl w:val="2"/>
          <w:numId w:val="4"/>
        </w:numPr>
        <w:rPr>
          <w:lang w:val="en-US"/>
        </w:rPr>
      </w:pPr>
      <w:r w:rsidRPr="004A055E">
        <w:rPr>
          <w:lang w:val="en-US"/>
        </w:rPr>
        <w:t xml:space="preserve"> times if they live in social </w:t>
      </w:r>
      <w:proofErr w:type="gramStart"/>
      <w:r w:rsidRPr="004A055E">
        <w:rPr>
          <w:lang w:val="en-US"/>
        </w:rPr>
        <w:t>housing;</w:t>
      </w:r>
      <w:proofErr w:type="gramEnd"/>
    </w:p>
    <w:p w14:paraId="0757049D" w14:textId="77777777" w:rsidR="001D0086" w:rsidRPr="004A055E" w:rsidRDefault="001D0086" w:rsidP="006E7A5D">
      <w:pPr>
        <w:numPr>
          <w:ilvl w:val="2"/>
          <w:numId w:val="4"/>
        </w:numPr>
        <w:rPr>
          <w:lang w:val="en-US"/>
        </w:rPr>
      </w:pPr>
      <w:r w:rsidRPr="004A055E">
        <w:rPr>
          <w:lang w:val="en-US"/>
        </w:rPr>
        <w:t>times if they are of Bangladeshi origin.</w:t>
      </w:r>
    </w:p>
    <w:p w14:paraId="3058AC0A" w14:textId="77777777" w:rsidR="001D0086" w:rsidRPr="004A055E" w:rsidRDefault="001D0086" w:rsidP="004A055E">
      <w:pPr>
        <w:rPr>
          <w:lang w:val="en-US"/>
        </w:rPr>
      </w:pPr>
    </w:p>
    <w:p w14:paraId="54CCCD87" w14:textId="77777777" w:rsidR="001D0086" w:rsidRPr="004A055E" w:rsidRDefault="001D0086" w:rsidP="00762083">
      <w:pPr>
        <w:pStyle w:val="Heading2"/>
        <w:rPr>
          <w:lang w:val="en-US"/>
        </w:rPr>
      </w:pPr>
      <w:r w:rsidRPr="004A055E">
        <w:rPr>
          <w:lang w:val="en-US"/>
        </w:rPr>
        <w:t>3.1 The proximity of hot food takeaways to schools</w:t>
      </w:r>
    </w:p>
    <w:p w14:paraId="4FF5A256" w14:textId="77777777" w:rsidR="001D0086" w:rsidRPr="004A055E" w:rsidRDefault="001D0086" w:rsidP="004A055E">
      <w:pPr>
        <w:rPr>
          <w:lang w:val="en-US"/>
        </w:rPr>
      </w:pPr>
    </w:p>
    <w:p w14:paraId="1D61A578" w14:textId="77777777" w:rsidR="001D0086" w:rsidRPr="004A055E" w:rsidRDefault="001D0086" w:rsidP="004A055E">
      <w:pPr>
        <w:rPr>
          <w:lang w:val="en-US"/>
        </w:rPr>
      </w:pPr>
      <w:r w:rsidRPr="004A055E">
        <w:rPr>
          <w:lang w:val="en-US"/>
        </w:rPr>
        <w:t>Research by the Royal Society for Public Health found that nearly all children’s visits to fast food outlets were on the return route from school to their home. This means that understanding the immediate environment around schools and how to influence it is a critical stage in improving the flow of healthier food options in a child’s everyday experience.</w:t>
      </w:r>
      <w:r w:rsidRPr="004A055E">
        <w:rPr>
          <w:vertAlign w:val="superscript"/>
          <w:lang w:val="en-US"/>
        </w:rPr>
        <w:endnoteReference w:id="49"/>
      </w:r>
      <w:r w:rsidRPr="004A055E">
        <w:rPr>
          <w:lang w:val="en-US"/>
        </w:rPr>
        <w:t xml:space="preserve"> </w:t>
      </w:r>
    </w:p>
    <w:p w14:paraId="4615B978" w14:textId="77777777" w:rsidR="001D0086" w:rsidRPr="004A055E" w:rsidRDefault="001D0086" w:rsidP="004A055E">
      <w:pPr>
        <w:rPr>
          <w:bCs/>
          <w:color w:val="000000" w:themeColor="text1"/>
          <w:lang w:val="en-US"/>
        </w:rPr>
      </w:pPr>
    </w:p>
    <w:p w14:paraId="4A79185E" w14:textId="77777777" w:rsidR="001D0086" w:rsidRPr="004A055E" w:rsidRDefault="001D0086" w:rsidP="00762083">
      <w:pPr>
        <w:pStyle w:val="Subtitle"/>
        <w:rPr>
          <w:lang w:val="en-US"/>
        </w:rPr>
      </w:pPr>
      <w:r w:rsidRPr="004A055E">
        <w:rPr>
          <w:lang w:val="en-US"/>
        </w:rPr>
        <w:t>In the national context:</w:t>
      </w:r>
    </w:p>
    <w:p w14:paraId="22A8BDF2" w14:textId="77777777" w:rsidR="001D0086" w:rsidRPr="004A055E" w:rsidRDefault="001D0086" w:rsidP="006E7A5D">
      <w:pPr>
        <w:numPr>
          <w:ilvl w:val="0"/>
          <w:numId w:val="6"/>
        </w:numPr>
        <w:contextualSpacing/>
        <w:rPr>
          <w:lang w:val="en-US"/>
        </w:rPr>
      </w:pPr>
      <w:r w:rsidRPr="004A055E">
        <w:rPr>
          <w:lang w:val="en-US"/>
        </w:rPr>
        <w:t>Young people are exposed to unhealthier food and drink in many out-of-home environments. The frequency that children and families visit such outlets is therefore important</w:t>
      </w:r>
      <w:r w:rsidRPr="004A055E">
        <w:rPr>
          <w:vertAlign w:val="superscript"/>
          <w:lang w:val="en-US"/>
        </w:rPr>
        <w:endnoteReference w:id="50"/>
      </w:r>
      <w:r w:rsidRPr="004A055E">
        <w:rPr>
          <w:lang w:val="en-US"/>
        </w:rPr>
        <w:t xml:space="preserve"> </w:t>
      </w:r>
    </w:p>
    <w:p w14:paraId="3E8BA0B1" w14:textId="77777777" w:rsidR="001D0086" w:rsidRPr="004A055E" w:rsidRDefault="001D0086" w:rsidP="006E7A5D">
      <w:pPr>
        <w:numPr>
          <w:ilvl w:val="0"/>
          <w:numId w:val="6"/>
        </w:numPr>
        <w:contextualSpacing/>
        <w:rPr>
          <w:lang w:val="en-US"/>
        </w:rPr>
      </w:pPr>
      <w:r w:rsidRPr="004A055E">
        <w:rPr>
          <w:lang w:val="en-US"/>
        </w:rPr>
        <w:t>Secondary school pupils often buy food from a range of outlets in the school area for their lunch or, on their way to and from school</w:t>
      </w:r>
      <w:r w:rsidRPr="004A055E">
        <w:rPr>
          <w:vertAlign w:val="superscript"/>
          <w:lang w:val="en-US"/>
        </w:rPr>
        <w:endnoteReference w:id="51"/>
      </w:r>
      <w:r w:rsidRPr="004A055E">
        <w:rPr>
          <w:lang w:val="en-US"/>
        </w:rPr>
        <w:t xml:space="preserve"> </w:t>
      </w:r>
    </w:p>
    <w:p w14:paraId="0DA06D7C" w14:textId="77777777" w:rsidR="001D0086" w:rsidRPr="004A055E" w:rsidRDefault="001D0086" w:rsidP="006E7A5D">
      <w:pPr>
        <w:numPr>
          <w:ilvl w:val="0"/>
          <w:numId w:val="6"/>
        </w:numPr>
        <w:contextualSpacing/>
        <w:rPr>
          <w:lang w:val="en-US"/>
        </w:rPr>
      </w:pPr>
      <w:r w:rsidRPr="004A055E">
        <w:rPr>
          <w:lang w:val="en-US"/>
        </w:rPr>
        <w:t xml:space="preserve">Takeaways that are situated close to </w:t>
      </w:r>
      <w:proofErr w:type="gramStart"/>
      <w:r w:rsidRPr="004A055E">
        <w:rPr>
          <w:lang w:val="en-US"/>
        </w:rPr>
        <w:t>schools</w:t>
      </w:r>
      <w:proofErr w:type="gramEnd"/>
      <w:r w:rsidRPr="004A055E">
        <w:rPr>
          <w:lang w:val="en-US"/>
        </w:rPr>
        <w:t xml:space="preserve"> risk undermining efforts to provide healthy school food.</w:t>
      </w:r>
      <w:r w:rsidRPr="004A055E">
        <w:rPr>
          <w:vertAlign w:val="superscript"/>
          <w:lang w:val="en-US"/>
        </w:rPr>
        <w:endnoteReference w:id="52"/>
      </w:r>
      <w:r w:rsidRPr="004A055E">
        <w:rPr>
          <w:lang w:val="en-US"/>
        </w:rPr>
        <w:t xml:space="preserve"> For example, children sometimes skip lunch to save money which can be spent after school at fast food outlets. A large scale (n=10,645) study of secondary school children from 30 schools in one large UK city found that 2.9% reported never eating regularly and 17.2% reported daily consumption of junk food.</w:t>
      </w:r>
      <w:r w:rsidRPr="004A055E">
        <w:rPr>
          <w:vertAlign w:val="superscript"/>
          <w:lang w:val="en-US"/>
        </w:rPr>
        <w:endnoteReference w:id="53"/>
      </w:r>
    </w:p>
    <w:p w14:paraId="5E94F6F3" w14:textId="77777777" w:rsidR="001D0086" w:rsidRPr="004A055E" w:rsidRDefault="001D0086" w:rsidP="006E7A5D">
      <w:pPr>
        <w:numPr>
          <w:ilvl w:val="0"/>
          <w:numId w:val="6"/>
        </w:numPr>
        <w:contextualSpacing/>
        <w:rPr>
          <w:lang w:val="en-US"/>
        </w:rPr>
      </w:pPr>
      <w:r w:rsidRPr="004A055E">
        <w:rPr>
          <w:lang w:val="en-US"/>
        </w:rPr>
        <w:t>Proximity to schools is suggested to be a key factor in secondary school pupils’ decisions about where to purchase food, but the evidence is equivocal.</w:t>
      </w:r>
      <w:r w:rsidRPr="004A055E">
        <w:rPr>
          <w:vertAlign w:val="superscript"/>
          <w:lang w:val="en-US"/>
        </w:rPr>
        <w:endnoteReference w:id="54"/>
      </w:r>
    </w:p>
    <w:p w14:paraId="13D2BE5E" w14:textId="77777777" w:rsidR="001D0086" w:rsidRPr="004A055E" w:rsidRDefault="001D0086" w:rsidP="006E7A5D">
      <w:pPr>
        <w:numPr>
          <w:ilvl w:val="0"/>
          <w:numId w:val="6"/>
        </w:numPr>
        <w:contextualSpacing/>
        <w:rPr>
          <w:lang w:val="en-US"/>
        </w:rPr>
      </w:pPr>
      <w:r w:rsidRPr="004A055E">
        <w:rPr>
          <w:lang w:val="en-US"/>
        </w:rPr>
        <w:t xml:space="preserve">A systematic review of 14 papers found that there was good evidence of more hot food takeaways in deprived areas and children who spend time in deprived </w:t>
      </w:r>
      <w:proofErr w:type="spellStart"/>
      <w:r w:rsidRPr="004A055E">
        <w:rPr>
          <w:lang w:val="en-US"/>
        </w:rPr>
        <w:t>neighbourhoods</w:t>
      </w:r>
      <w:proofErr w:type="spellEnd"/>
      <w:r w:rsidRPr="004A055E">
        <w:rPr>
          <w:lang w:val="en-US"/>
        </w:rPr>
        <w:t xml:space="preserve"> tend to eat more fast food and have higher BMIs.</w:t>
      </w:r>
      <w:r w:rsidRPr="004A055E">
        <w:rPr>
          <w:vertAlign w:val="superscript"/>
          <w:lang w:val="en-US"/>
        </w:rPr>
        <w:endnoteReference w:id="55"/>
      </w:r>
    </w:p>
    <w:p w14:paraId="16DDD9D1" w14:textId="77777777" w:rsidR="001D0086" w:rsidRPr="004A055E" w:rsidRDefault="001D0086" w:rsidP="004A055E">
      <w:pPr>
        <w:ind w:left="360"/>
        <w:contextualSpacing/>
        <w:rPr>
          <w:lang w:val="en-US"/>
        </w:rPr>
      </w:pPr>
    </w:p>
    <w:p w14:paraId="57F9ED35" w14:textId="77777777" w:rsidR="001D0086" w:rsidRPr="004A055E" w:rsidRDefault="001D0086" w:rsidP="00AF57D1">
      <w:pPr>
        <w:pStyle w:val="Subtitle"/>
        <w:rPr>
          <w:lang w:val="en-US"/>
        </w:rPr>
      </w:pPr>
      <w:r w:rsidRPr="004A055E">
        <w:rPr>
          <w:lang w:val="en-US"/>
        </w:rPr>
        <w:t>In Tower Hamlets:</w:t>
      </w:r>
    </w:p>
    <w:p w14:paraId="2A0DF2A1" w14:textId="77777777" w:rsidR="001D0086" w:rsidRPr="004A055E" w:rsidRDefault="001D0086" w:rsidP="006E7A5D">
      <w:pPr>
        <w:numPr>
          <w:ilvl w:val="0"/>
          <w:numId w:val="7"/>
        </w:numPr>
        <w:contextualSpacing/>
        <w:rPr>
          <w:lang w:val="en-US"/>
        </w:rPr>
      </w:pPr>
      <w:r w:rsidRPr="004A055E">
        <w:rPr>
          <w:lang w:val="en-US"/>
        </w:rPr>
        <w:t xml:space="preserve">A longitudinal study of 29 secondary schools (including those in Tower Hamlets) found a significant increase in the number of takeaways, grocers and convenience stores within 800 metres of a school, between 2001 and 2005. This had a small negative effect on adolescent diet with a decrease in average healthy and an increase in unhealthy diet scores. </w:t>
      </w:r>
      <w:r w:rsidRPr="004A055E">
        <w:rPr>
          <w:vertAlign w:val="superscript"/>
          <w:lang w:val="en-US"/>
        </w:rPr>
        <w:endnoteReference w:id="56"/>
      </w:r>
    </w:p>
    <w:p w14:paraId="7421E54C" w14:textId="77777777" w:rsidR="001D0086" w:rsidRPr="004A055E" w:rsidRDefault="001D0086" w:rsidP="006E7A5D">
      <w:pPr>
        <w:numPr>
          <w:ilvl w:val="0"/>
          <w:numId w:val="7"/>
        </w:numPr>
        <w:contextualSpacing/>
        <w:rPr>
          <w:lang w:val="en-US"/>
        </w:rPr>
      </w:pPr>
      <w:r w:rsidRPr="004A055E">
        <w:rPr>
          <w:lang w:val="en-US"/>
        </w:rPr>
        <w:t>Caraher et al (2014) also reported food outlets increasingly clustering around schools providing numerous opportunities for pupils to purchase energy dense foods.</w:t>
      </w:r>
      <w:r w:rsidRPr="004A055E">
        <w:rPr>
          <w:vertAlign w:val="superscript"/>
          <w:lang w:val="en-US"/>
        </w:rPr>
        <w:endnoteReference w:id="57"/>
      </w:r>
    </w:p>
    <w:p w14:paraId="53669A81" w14:textId="77777777" w:rsidR="001D0086" w:rsidRPr="004A055E" w:rsidRDefault="001D0086" w:rsidP="006E7A5D">
      <w:pPr>
        <w:numPr>
          <w:ilvl w:val="0"/>
          <w:numId w:val="7"/>
        </w:numPr>
        <w:contextualSpacing/>
        <w:rPr>
          <w:lang w:val="en-US"/>
        </w:rPr>
      </w:pPr>
      <w:r w:rsidRPr="004A055E">
        <w:rPr>
          <w:lang w:val="en-US"/>
        </w:rPr>
        <w:t xml:space="preserve">Some takeaways located near schools have been shown to target children with special deals within their price range. One study found outlets offering four fried chicken wings for £1, or a large portion of chicken and chips for just £1.99 undercutting the price of the average secondary school lunch. </w:t>
      </w:r>
      <w:r w:rsidRPr="004A055E">
        <w:rPr>
          <w:vertAlign w:val="superscript"/>
          <w:lang w:val="en-US"/>
        </w:rPr>
        <w:endnoteReference w:id="58"/>
      </w:r>
    </w:p>
    <w:p w14:paraId="2242377C" w14:textId="77777777" w:rsidR="001D0086" w:rsidRPr="004A055E" w:rsidRDefault="001D0086" w:rsidP="006E7A5D">
      <w:pPr>
        <w:numPr>
          <w:ilvl w:val="0"/>
          <w:numId w:val="7"/>
        </w:numPr>
        <w:contextualSpacing/>
        <w:rPr>
          <w:lang w:val="en-US"/>
        </w:rPr>
      </w:pPr>
      <w:r w:rsidRPr="004A055E">
        <w:rPr>
          <w:lang w:val="en-US"/>
        </w:rPr>
        <w:t xml:space="preserve">There are concentrations of fast-food outlets near schools and students reported use of these. The schools that enforce their closed gate policy had some success restricting their students’ lunchtime custom. However, many report skipping lunch </w:t>
      </w:r>
      <w:proofErr w:type="gramStart"/>
      <w:r w:rsidRPr="004A055E">
        <w:rPr>
          <w:lang w:val="en-US"/>
        </w:rPr>
        <w:t>in order to</w:t>
      </w:r>
      <w:proofErr w:type="gramEnd"/>
      <w:r w:rsidRPr="004A055E">
        <w:rPr>
          <w:lang w:val="en-US"/>
        </w:rPr>
        <w:t xml:space="preserve"> save money and eat after school at these outlets. The research concluded Tower Hamlets local policy was needed to improve the food offered in the immediate environment around the school.</w:t>
      </w:r>
      <w:r w:rsidRPr="004A055E">
        <w:rPr>
          <w:vertAlign w:val="superscript"/>
          <w:lang w:val="en-US"/>
        </w:rPr>
        <w:endnoteReference w:id="59"/>
      </w:r>
    </w:p>
    <w:p w14:paraId="615743BF" w14:textId="77777777" w:rsidR="001D0086" w:rsidRPr="004A055E" w:rsidRDefault="001D0086" w:rsidP="004A055E">
      <w:pPr>
        <w:ind w:left="360"/>
        <w:contextualSpacing/>
        <w:rPr>
          <w:lang w:val="en-US"/>
        </w:rPr>
      </w:pPr>
    </w:p>
    <w:p w14:paraId="6BCEDCF6" w14:textId="77777777" w:rsidR="001D0086" w:rsidRPr="004A055E" w:rsidRDefault="001D0086" w:rsidP="00AF57D1">
      <w:pPr>
        <w:pStyle w:val="Heading2"/>
        <w:rPr>
          <w:color w:val="000000" w:themeColor="text1"/>
          <w:lang w:val="en-US"/>
        </w:rPr>
      </w:pPr>
      <w:r w:rsidRPr="004A055E">
        <w:rPr>
          <w:lang w:val="en-US"/>
        </w:rPr>
        <w:t>3.2 Impacts to the high street and links to deprivation</w:t>
      </w:r>
    </w:p>
    <w:p w14:paraId="79FFBCC1" w14:textId="77777777" w:rsidR="001D0086" w:rsidRPr="004A055E" w:rsidRDefault="001D0086" w:rsidP="004A055E">
      <w:pPr>
        <w:rPr>
          <w:lang w:val="en-US"/>
        </w:rPr>
      </w:pPr>
    </w:p>
    <w:p w14:paraId="62F92DD3" w14:textId="77777777" w:rsidR="004A055E" w:rsidRPr="004A055E" w:rsidRDefault="001D0086" w:rsidP="004A055E">
      <w:pPr>
        <w:rPr>
          <w:lang w:val="en-US"/>
        </w:rPr>
      </w:pPr>
      <w:r w:rsidRPr="004A055E">
        <w:rPr>
          <w:lang w:val="en-US"/>
        </w:rPr>
        <w:t>A study by Public Health England</w:t>
      </w:r>
      <w:r w:rsidRPr="004A055E">
        <w:rPr>
          <w:vertAlign w:val="superscript"/>
          <w:lang w:val="en-US"/>
        </w:rPr>
        <w:endnoteReference w:id="60"/>
      </w:r>
      <w:r w:rsidRPr="004A055E">
        <w:rPr>
          <w:lang w:val="en-US"/>
        </w:rPr>
        <w:t xml:space="preserve"> </w:t>
      </w:r>
      <w:r w:rsidR="004A055E" w:rsidRPr="004A055E">
        <w:rPr>
          <w:lang w:val="en-US"/>
        </w:rPr>
        <w:t>found definitive evidence that in some areas, particularly in areas of high deprivation, small, independent food retailers are being undermined by a proliferation and density of hot food takeaways, creating what it terms ‘food deserts’, which are defined as areas of poor access to the provision of healthy affordable food.</w:t>
      </w:r>
    </w:p>
    <w:p w14:paraId="0C5FDF48" w14:textId="77777777" w:rsidR="004A055E" w:rsidRPr="004A055E" w:rsidRDefault="004A055E" w:rsidP="004A055E">
      <w:pPr>
        <w:rPr>
          <w:lang w:val="en-US"/>
        </w:rPr>
      </w:pPr>
      <w:r w:rsidRPr="004A055E">
        <w:rPr>
          <w:lang w:val="en-US"/>
        </w:rPr>
        <w:t xml:space="preserve">The study stated that: </w:t>
      </w:r>
    </w:p>
    <w:p w14:paraId="550588A6" w14:textId="77777777" w:rsidR="004A055E" w:rsidRPr="004A055E" w:rsidRDefault="004A055E" w:rsidP="004A055E">
      <w:pPr>
        <w:rPr>
          <w:i/>
          <w:lang w:val="en-US"/>
        </w:rPr>
      </w:pPr>
      <w:r w:rsidRPr="004A055E">
        <w:rPr>
          <w:i/>
          <w:lang w:val="en-US"/>
        </w:rPr>
        <w:t>“Food poverty is the inability to afford, or have access to, food that makes up a healthy diet. The health impacts of food poverty are wide ranging and follow a social gradient. Food poverty and poor nutritional intake are significant risk factors for cancer, diabetes and coronary heart disease within the UK, and are estimated to represent 30% of life years lost to early mortality and disability. Food poverty can also increase the prevalence of dental caries in children, the risks of trips and falls in older people, the risk and incidence of low birthweight, and childhood morbidity and mortality.</w:t>
      </w:r>
    </w:p>
    <w:p w14:paraId="50582AAF" w14:textId="77777777" w:rsidR="004A055E" w:rsidRPr="004A055E" w:rsidRDefault="004A055E" w:rsidP="004A055E">
      <w:pPr>
        <w:rPr>
          <w:i/>
          <w:lang w:val="en-US"/>
        </w:rPr>
      </w:pPr>
    </w:p>
    <w:p w14:paraId="616A685E" w14:textId="77777777" w:rsidR="004A055E" w:rsidRPr="004A055E" w:rsidRDefault="004A055E" w:rsidP="00AF57D1">
      <w:pPr>
        <w:pStyle w:val="Heading2"/>
        <w:rPr>
          <w:lang w:val="en-US"/>
        </w:rPr>
      </w:pPr>
      <w:r w:rsidRPr="004A055E">
        <w:rPr>
          <w:lang w:val="en-US"/>
        </w:rPr>
        <w:t>3.3 Resident Attitudes</w:t>
      </w:r>
    </w:p>
    <w:p w14:paraId="4A32D476" w14:textId="77777777" w:rsidR="004A055E" w:rsidRPr="004A055E" w:rsidRDefault="004A055E" w:rsidP="004A055E">
      <w:pPr>
        <w:rPr>
          <w:lang w:val="en-US"/>
        </w:rPr>
      </w:pPr>
    </w:p>
    <w:p w14:paraId="1B0D8571" w14:textId="77777777" w:rsidR="004A055E" w:rsidRPr="004A055E" w:rsidRDefault="004A055E" w:rsidP="004A055E">
      <w:pPr>
        <w:rPr>
          <w:lang w:val="en-US"/>
        </w:rPr>
      </w:pPr>
      <w:r w:rsidRPr="004A055E">
        <w:rPr>
          <w:lang w:val="en-US"/>
        </w:rPr>
        <w:t xml:space="preserve">In 2016, Tower Hamlets residents participated in the ‘great weight debate’ that took place across London. The common themes that emerged from the ‘great weight debate’ were that residents want to lead healthy lifestyles, but they feel that their environment and the food that is available are working against them. Londoners were extremely concerned about the accessibility of fast </w:t>
      </w:r>
      <w:proofErr w:type="gramStart"/>
      <w:r w:rsidRPr="004A055E">
        <w:rPr>
          <w:lang w:val="en-US"/>
        </w:rPr>
        <w:t>food in particular</w:t>
      </w:r>
      <w:proofErr w:type="gramEnd"/>
      <w:r w:rsidRPr="004A055E">
        <w:rPr>
          <w:lang w:val="en-US"/>
        </w:rPr>
        <w:t>. The tendency of fast-food outlets to cluster around schools and target school children emerged as a spontaneous concern of the workshops. Overall, there was strong support for limiting the operations of fast good outlets, and for encouraging the development of healthier alternatives. They felt that encouraging healthier food in these outlets, limiting when they can operate, and preventing additional outlets from operating would tackle the issue at its source.</w:t>
      </w:r>
    </w:p>
    <w:p w14:paraId="70C4F9F8" w14:textId="77777777" w:rsidR="004A055E" w:rsidRPr="004A055E" w:rsidRDefault="004A055E" w:rsidP="004A055E">
      <w:pPr>
        <w:spacing w:line="360" w:lineRule="auto"/>
        <w:rPr>
          <w:rFonts w:eastAsia="Times New Roman"/>
          <w:b/>
          <w:bCs/>
          <w:noProof/>
          <w:color w:val="000000" w:themeColor="text1"/>
          <w:sz w:val="28"/>
          <w:szCs w:val="48"/>
          <w:lang w:val="en-US"/>
        </w:rPr>
      </w:pPr>
    </w:p>
    <w:p w14:paraId="4FB68898" w14:textId="77777777" w:rsidR="004A055E" w:rsidRPr="004A055E" w:rsidRDefault="004A055E" w:rsidP="006E7A5D">
      <w:pPr>
        <w:numPr>
          <w:ilvl w:val="0"/>
          <w:numId w:val="13"/>
        </w:numPr>
        <w:spacing w:line="360" w:lineRule="auto"/>
        <w:rPr>
          <w:b/>
          <w:bCs/>
          <w:color w:val="0062AE"/>
          <w:sz w:val="36"/>
          <w:szCs w:val="36"/>
        </w:rPr>
      </w:pPr>
      <w:r w:rsidRPr="004A055E">
        <w:rPr>
          <w:b/>
          <w:bCs/>
          <w:color w:val="0062AE"/>
          <w:sz w:val="36"/>
          <w:szCs w:val="36"/>
        </w:rPr>
        <w:t>Conclusion</w:t>
      </w:r>
    </w:p>
    <w:p w14:paraId="28A2FF78" w14:textId="78E5405C" w:rsidR="00486C0C" w:rsidRDefault="004A055E" w:rsidP="004A055E">
      <w:pPr>
        <w:rPr>
          <w:lang w:val="en-US"/>
        </w:rPr>
      </w:pPr>
      <w:r w:rsidRPr="004A055E">
        <w:rPr>
          <w:lang w:val="en-US"/>
        </w:rPr>
        <w:t xml:space="preserve">Tower Hamlets has rates of </w:t>
      </w:r>
      <w:bookmarkStart w:id="4" w:name="_Hlk128505856"/>
      <w:r w:rsidRPr="004A055E">
        <w:rPr>
          <w:lang w:val="en-US"/>
        </w:rPr>
        <w:t xml:space="preserve">healthy weight </w:t>
      </w:r>
      <w:bookmarkEnd w:id="4"/>
      <w:r w:rsidRPr="004A055E">
        <w:rPr>
          <w:lang w:val="en-US"/>
        </w:rPr>
        <w:t>higher than much of England and most other London boroughs. Furthermore, emerging epidemiological evidence suggests that many of our residents disproportionately suffer the ill effects of diet related diseases. Because of this, the Council, as a member of the borough’s Health and Wellbeing Board, has developed a package of policies, strategies and programs designed to lead a transformation in addressing childhood healthy weight in the borough. The Local Plan ambition to define appropriate locations and concentrations for new takeaway premises is a major part of this package. It is also supported by residents’ attitudes and the national and local evidence base.</w:t>
      </w:r>
    </w:p>
    <w:p w14:paraId="0DE2FAF1" w14:textId="77777777" w:rsidR="00486C0C" w:rsidRDefault="00486C0C">
      <w:pPr>
        <w:spacing w:line="259" w:lineRule="auto"/>
        <w:rPr>
          <w:lang w:val="en-US"/>
        </w:rPr>
      </w:pPr>
      <w:r>
        <w:rPr>
          <w:lang w:val="en-US"/>
        </w:rPr>
        <w:br w:type="page"/>
      </w:r>
    </w:p>
    <w:p w14:paraId="2420DA50" w14:textId="695A0852" w:rsidR="00284CB3" w:rsidRPr="00284CB3" w:rsidRDefault="00284CB3" w:rsidP="00284CB3">
      <w:pPr>
        <w:numPr>
          <w:ilvl w:val="0"/>
          <w:numId w:val="13"/>
        </w:numPr>
        <w:spacing w:line="360" w:lineRule="auto"/>
        <w:rPr>
          <w:b/>
          <w:bCs/>
          <w:color w:val="0062AE"/>
          <w:sz w:val="36"/>
          <w:szCs w:val="36"/>
        </w:rPr>
      </w:pPr>
      <w:r w:rsidRPr="00284CB3">
        <w:rPr>
          <w:b/>
          <w:bCs/>
          <w:color w:val="0062AE"/>
          <w:sz w:val="36"/>
          <w:szCs w:val="36"/>
        </w:rPr>
        <w:lastRenderedPageBreak/>
        <w:t xml:space="preserve">Key contacts and Stakeholder involvement </w:t>
      </w:r>
    </w:p>
    <w:p w14:paraId="1B63F44C" w14:textId="77777777" w:rsidR="00284CB3" w:rsidRPr="00AA2171" w:rsidRDefault="00284CB3" w:rsidP="00284CB3">
      <w:pPr>
        <w:rPr>
          <w:rFonts w:asciiTheme="majorHAnsi" w:eastAsiaTheme="minorHAnsi" w:hAnsiTheme="majorHAnsi" w:cs="Times New Roman"/>
          <w:b/>
          <w:szCs w:val="14"/>
        </w:rPr>
      </w:pPr>
    </w:p>
    <w:p w14:paraId="63A75550" w14:textId="36E16CA7" w:rsidR="00284CB3" w:rsidRPr="00205B34" w:rsidRDefault="00284CB3" w:rsidP="00284CB3">
      <w:pPr>
        <w:rPr>
          <w:lang w:val="en-US"/>
        </w:rPr>
      </w:pPr>
      <w:r w:rsidRPr="00205B34">
        <w:rPr>
          <w:lang w:val="en-US"/>
        </w:rPr>
        <w:t>This document was written by Matthew Quin,</w:t>
      </w:r>
      <w:r w:rsidR="005A6BE5" w:rsidRPr="005A6BE5">
        <w:t xml:space="preserve"> </w:t>
      </w:r>
      <w:proofErr w:type="spellStart"/>
      <w:r w:rsidR="005A6BE5" w:rsidRPr="005A6BE5">
        <w:rPr>
          <w:lang w:val="en-US"/>
        </w:rPr>
        <w:t>Programme</w:t>
      </w:r>
      <w:proofErr w:type="spellEnd"/>
      <w:r w:rsidR="005A6BE5" w:rsidRPr="005A6BE5">
        <w:rPr>
          <w:lang w:val="en-US"/>
        </w:rPr>
        <w:t xml:space="preserve"> Lead for Heathy Environments</w:t>
      </w:r>
      <w:r w:rsidR="005A6BE5">
        <w:rPr>
          <w:lang w:val="en-US"/>
        </w:rPr>
        <w:t>;</w:t>
      </w:r>
      <w:r w:rsidR="005A6BE5" w:rsidRPr="005A6BE5">
        <w:rPr>
          <w:lang w:val="en-US"/>
        </w:rPr>
        <w:t xml:space="preserve"> </w:t>
      </w:r>
      <w:r w:rsidR="00682630" w:rsidRPr="00205B34">
        <w:rPr>
          <w:lang w:val="en-US"/>
        </w:rPr>
        <w:t>N</w:t>
      </w:r>
      <w:r w:rsidRPr="00205B34">
        <w:rPr>
          <w:lang w:val="en-US"/>
        </w:rPr>
        <w:t>atalie Lovell</w:t>
      </w:r>
      <w:r w:rsidR="005A6BE5">
        <w:rPr>
          <w:lang w:val="en-US"/>
        </w:rPr>
        <w:t xml:space="preserve">, </w:t>
      </w:r>
      <w:proofErr w:type="spellStart"/>
      <w:r w:rsidR="005A6BE5">
        <w:rPr>
          <w:lang w:val="en-US"/>
        </w:rPr>
        <w:t>Programme</w:t>
      </w:r>
      <w:proofErr w:type="spellEnd"/>
      <w:r w:rsidR="005A6BE5">
        <w:rPr>
          <w:lang w:val="en-US"/>
        </w:rPr>
        <w:t xml:space="preserve"> Manager for Healthy Environments; and</w:t>
      </w:r>
      <w:r w:rsidR="00682630" w:rsidRPr="00205B34">
        <w:rPr>
          <w:lang w:val="en-US"/>
        </w:rPr>
        <w:t xml:space="preserve"> </w:t>
      </w:r>
      <w:r w:rsidRPr="00205B34">
        <w:rPr>
          <w:lang w:val="en-US"/>
        </w:rPr>
        <w:t>Lisa Harris</w:t>
      </w:r>
      <w:r w:rsidR="005A6BE5">
        <w:rPr>
          <w:lang w:val="en-US"/>
        </w:rPr>
        <w:t>,</w:t>
      </w:r>
      <w:r w:rsidR="005A6BE5" w:rsidRPr="005A6BE5">
        <w:t xml:space="preserve"> </w:t>
      </w:r>
      <w:proofErr w:type="spellStart"/>
      <w:r w:rsidR="005A6BE5" w:rsidRPr="005A6BE5">
        <w:rPr>
          <w:lang w:val="en-US"/>
        </w:rPr>
        <w:t>Programme</w:t>
      </w:r>
      <w:proofErr w:type="spellEnd"/>
      <w:r w:rsidR="005A6BE5" w:rsidRPr="005A6BE5">
        <w:rPr>
          <w:lang w:val="en-US"/>
        </w:rPr>
        <w:t xml:space="preserve"> </w:t>
      </w:r>
      <w:r w:rsidR="005A6BE5">
        <w:rPr>
          <w:lang w:val="en-US"/>
        </w:rPr>
        <w:t>Officer</w:t>
      </w:r>
      <w:r w:rsidR="005A6BE5" w:rsidRPr="005A6BE5">
        <w:rPr>
          <w:lang w:val="en-US"/>
        </w:rPr>
        <w:t xml:space="preserve"> for Healthy Environments</w:t>
      </w:r>
      <w:r w:rsidR="00682630" w:rsidRPr="00205B34">
        <w:rPr>
          <w:lang w:val="en-US"/>
        </w:rPr>
        <w:t>.</w:t>
      </w:r>
    </w:p>
    <w:p w14:paraId="225D1D79" w14:textId="77777777" w:rsidR="00682630" w:rsidRPr="00205B34" w:rsidRDefault="00682630" w:rsidP="00284CB3">
      <w:pPr>
        <w:rPr>
          <w:lang w:val="en-US"/>
        </w:rPr>
      </w:pPr>
    </w:p>
    <w:p w14:paraId="1C8C2C55" w14:textId="55CDB4A8" w:rsidR="00284CB3" w:rsidRPr="00205B34" w:rsidRDefault="00284CB3" w:rsidP="00284CB3">
      <w:pPr>
        <w:rPr>
          <w:lang w:val="en-US"/>
        </w:rPr>
      </w:pPr>
      <w:r w:rsidRPr="00205B34">
        <w:rPr>
          <w:lang w:val="en-US"/>
        </w:rPr>
        <w:t>This document was signed off by Katy Scammell, Associate Director for Healthy Environments.</w:t>
      </w:r>
    </w:p>
    <w:p w14:paraId="24F8424F" w14:textId="77777777" w:rsidR="00682630" w:rsidRPr="00205B34" w:rsidRDefault="00682630" w:rsidP="00284CB3">
      <w:pPr>
        <w:rPr>
          <w:lang w:val="en-US"/>
        </w:rPr>
      </w:pPr>
    </w:p>
    <w:p w14:paraId="488D6F80" w14:textId="2A86BD0F" w:rsidR="00284CB3" w:rsidRPr="00205B34" w:rsidRDefault="00284CB3" w:rsidP="00284CB3">
      <w:pPr>
        <w:rPr>
          <w:lang w:val="en-US"/>
        </w:rPr>
      </w:pPr>
      <w:r w:rsidRPr="00205B34">
        <w:rPr>
          <w:lang w:val="en-US"/>
        </w:rPr>
        <w:t xml:space="preserve">Any queries regarding this publication should be sent to Matthew Quin, </w:t>
      </w:r>
      <w:proofErr w:type="spellStart"/>
      <w:r w:rsidRPr="00205B34">
        <w:rPr>
          <w:lang w:val="en-US"/>
        </w:rPr>
        <w:t>Programme</w:t>
      </w:r>
      <w:proofErr w:type="spellEnd"/>
      <w:r w:rsidRPr="00205B34">
        <w:rPr>
          <w:lang w:val="en-US"/>
        </w:rPr>
        <w:t xml:space="preserve"> Lead for Heathy Environments, Public Health on </w:t>
      </w:r>
      <w:hyperlink r:id="rId20" w:history="1">
        <w:r w:rsidRPr="00205B34">
          <w:rPr>
            <w:color w:val="0070C0"/>
            <w:u w:val="single"/>
            <w:lang w:val="en-US"/>
          </w:rPr>
          <w:t>Matthew.Quin@towerhalets.gov.uk</w:t>
        </w:r>
      </w:hyperlink>
      <w:r w:rsidRPr="00205B34">
        <w:rPr>
          <w:lang w:val="en-US"/>
        </w:rPr>
        <w:t>.</w:t>
      </w:r>
    </w:p>
    <w:p w14:paraId="74CD0928" w14:textId="77777777" w:rsidR="004A055E" w:rsidRPr="004A055E" w:rsidRDefault="004A055E" w:rsidP="004A055E">
      <w:pPr>
        <w:rPr>
          <w:lang w:val="en-US"/>
        </w:rPr>
      </w:pPr>
    </w:p>
    <w:p w14:paraId="102F66AE" w14:textId="77777777" w:rsidR="004A055E" w:rsidRPr="004A055E" w:rsidRDefault="004A055E" w:rsidP="004A055E">
      <w:pPr>
        <w:rPr>
          <w:lang w:val="en-US"/>
        </w:rPr>
      </w:pPr>
    </w:p>
    <w:p w14:paraId="75F3CB28" w14:textId="77777777" w:rsidR="000B30C6" w:rsidRDefault="000B30C6" w:rsidP="00510C07"/>
    <w:p w14:paraId="511DE644" w14:textId="77777777" w:rsidR="000B30C6" w:rsidRDefault="000B30C6" w:rsidP="00510C07"/>
    <w:p w14:paraId="73213688" w14:textId="3EFFA683" w:rsidR="00DB2566" w:rsidRDefault="00DB2566" w:rsidP="00510C07"/>
    <w:p w14:paraId="215D87F6" w14:textId="77777777" w:rsidR="005A6BE5" w:rsidRDefault="005A6BE5">
      <w:pPr>
        <w:spacing w:line="259" w:lineRule="auto"/>
        <w:rPr>
          <w:u w:val="single"/>
        </w:rPr>
      </w:pPr>
      <w:r>
        <w:rPr>
          <w:u w:val="single"/>
        </w:rPr>
        <w:br w:type="page"/>
      </w:r>
    </w:p>
    <w:p w14:paraId="3ECD64A9" w14:textId="112DB3F5" w:rsidR="004A055E" w:rsidRDefault="001D0086" w:rsidP="00AF57D1">
      <w:pPr>
        <w:pStyle w:val="Title"/>
      </w:pPr>
      <w:r w:rsidRPr="001D0086">
        <w:lastRenderedPageBreak/>
        <w:t>References</w:t>
      </w:r>
    </w:p>
    <w:sectPr w:rsidR="004A055E" w:rsidSect="004A055E">
      <w:headerReference w:type="even" r:id="rId21"/>
      <w:headerReference w:type="default" r:id="rId22"/>
      <w:headerReference w:type="first" r:id="rId23"/>
      <w:footnotePr>
        <w:pos w:val="beneathText"/>
      </w:footnotePr>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00D52" w14:textId="77777777" w:rsidR="007967FB" w:rsidRDefault="007967FB" w:rsidP="00101F8B">
      <w:r>
        <w:separator/>
      </w:r>
    </w:p>
    <w:p w14:paraId="170BCBB2" w14:textId="77777777" w:rsidR="007967FB" w:rsidRDefault="007967FB" w:rsidP="00101F8B"/>
    <w:p w14:paraId="3A923B63" w14:textId="77777777" w:rsidR="007967FB" w:rsidRDefault="007967FB" w:rsidP="00101F8B"/>
    <w:p w14:paraId="16FD28FF" w14:textId="77777777" w:rsidR="007967FB" w:rsidRDefault="007967FB" w:rsidP="00101F8B"/>
    <w:p w14:paraId="091A84EC" w14:textId="77777777" w:rsidR="007967FB" w:rsidRDefault="007967FB" w:rsidP="00101F8B"/>
    <w:p w14:paraId="596A13BF" w14:textId="77777777" w:rsidR="007967FB" w:rsidRDefault="007967FB" w:rsidP="00101F8B"/>
  </w:endnote>
  <w:endnote w:type="continuationSeparator" w:id="0">
    <w:p w14:paraId="5291C10F" w14:textId="77777777" w:rsidR="007967FB" w:rsidRDefault="007967FB" w:rsidP="00101F8B">
      <w:r>
        <w:continuationSeparator/>
      </w:r>
    </w:p>
    <w:p w14:paraId="3CA84CFE" w14:textId="77777777" w:rsidR="007967FB" w:rsidRDefault="007967FB" w:rsidP="00101F8B"/>
    <w:p w14:paraId="1F9E7F5F" w14:textId="77777777" w:rsidR="007967FB" w:rsidRDefault="007967FB" w:rsidP="00101F8B"/>
    <w:p w14:paraId="1E8923D9" w14:textId="77777777" w:rsidR="007967FB" w:rsidRDefault="007967FB" w:rsidP="00101F8B"/>
    <w:p w14:paraId="0E31087D" w14:textId="77777777" w:rsidR="007967FB" w:rsidRDefault="007967FB" w:rsidP="00101F8B"/>
    <w:p w14:paraId="0A1F4FEC" w14:textId="77777777" w:rsidR="007967FB" w:rsidRDefault="007967FB" w:rsidP="00101F8B"/>
  </w:endnote>
  <w:endnote w:type="continuationNotice" w:id="1">
    <w:p w14:paraId="1E5DE446" w14:textId="77777777" w:rsidR="007967FB" w:rsidRDefault="007967FB">
      <w:pPr>
        <w:spacing w:after="0"/>
      </w:pPr>
    </w:p>
  </w:endnote>
  <w:endnote w:id="2">
    <w:p w14:paraId="104DFA8F" w14:textId="7F490D68"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Ministries of Housing, Communities and Local Government (2021) National Planning Policy Framework. Available at: </w:t>
      </w:r>
      <w:hyperlink r:id="rId1" w:history="1">
        <w:r w:rsidRPr="00880FB1">
          <w:rPr>
            <w:color w:val="0070C0"/>
            <w:u w:val="single"/>
            <w:lang w:val="en-US"/>
          </w:rPr>
          <w:t>https://assets.publishing.service.gov.uk/government/uploads/system/uploads/attachment_data/file/1005759/NPPF_July_2021.pdf</w:t>
        </w:r>
      </w:hyperlink>
      <w:r w:rsidR="008626F1" w:rsidRPr="00880FB1">
        <w:rPr>
          <w:color w:val="000000" w:themeColor="text1"/>
        </w:rPr>
        <w:t xml:space="preserve"> </w:t>
      </w:r>
      <w:r w:rsidRPr="00880FB1">
        <w:rPr>
          <w:color w:val="000000" w:themeColor="text1"/>
        </w:rPr>
        <w:t xml:space="preserve"> </w:t>
      </w:r>
    </w:p>
    <w:p w14:paraId="42162FA1" w14:textId="77777777" w:rsidR="00880FB1" w:rsidRPr="00880FB1" w:rsidRDefault="00880FB1" w:rsidP="00880FB1">
      <w:pPr>
        <w:pStyle w:val="EndnoteText"/>
        <w:rPr>
          <w:color w:val="000000" w:themeColor="text1"/>
        </w:rPr>
      </w:pPr>
    </w:p>
  </w:endnote>
  <w:endnote w:id="3">
    <w:p w14:paraId="1A9207A9"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Greater London Authority (2021) The London Plan. Available at: </w:t>
      </w:r>
      <w:hyperlink r:id="rId2" w:history="1">
        <w:r w:rsidRPr="00880FB1">
          <w:rPr>
            <w:color w:val="0070C0"/>
            <w:u w:val="single"/>
            <w:lang w:val="en-US"/>
          </w:rPr>
          <w:t>https://www.london.gov.uk/sites/default/files/the_london_plan_2021.pdf</w:t>
        </w:r>
      </w:hyperlink>
      <w:r w:rsidRPr="00880FB1">
        <w:rPr>
          <w:color w:val="000000" w:themeColor="text1"/>
        </w:rPr>
        <w:t xml:space="preserve"> </w:t>
      </w:r>
    </w:p>
    <w:p w14:paraId="4732BEAC" w14:textId="77777777" w:rsidR="00880FB1" w:rsidRPr="00880FB1" w:rsidRDefault="00880FB1" w:rsidP="00880FB1">
      <w:pPr>
        <w:pStyle w:val="EndnoteText"/>
        <w:rPr>
          <w:color w:val="000000" w:themeColor="text1"/>
        </w:rPr>
      </w:pPr>
    </w:p>
  </w:endnote>
  <w:endnote w:id="4">
    <w:p w14:paraId="65C5168D"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Ministries of Housing, Communities and Local Government (2021) National Planning Policy Framework. Available at: </w:t>
      </w:r>
      <w:hyperlink r:id="rId3" w:history="1">
        <w:r w:rsidRPr="00880FB1">
          <w:rPr>
            <w:color w:val="0070C0"/>
            <w:u w:val="single"/>
            <w:lang w:val="en-US"/>
          </w:rPr>
          <w:t>https://assets.publishing.service.gov.uk/government/uploads/system/uploads/attachment_data/file/1005759/NPPF_July_2021.pdf</w:t>
        </w:r>
      </w:hyperlink>
      <w:r w:rsidRPr="00880FB1">
        <w:rPr>
          <w:color w:val="000000" w:themeColor="text1"/>
        </w:rPr>
        <w:t xml:space="preserve"> </w:t>
      </w:r>
    </w:p>
    <w:p w14:paraId="4A3AA558" w14:textId="77777777" w:rsidR="00BE7F90" w:rsidRPr="00880FB1" w:rsidRDefault="00BE7F90" w:rsidP="00880FB1">
      <w:pPr>
        <w:pStyle w:val="EndnoteText"/>
        <w:rPr>
          <w:color w:val="000000" w:themeColor="text1"/>
        </w:rPr>
      </w:pPr>
    </w:p>
  </w:endnote>
  <w:endnote w:id="5">
    <w:p w14:paraId="54FF189B"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Greater London Authority (2021) The London Plan. Available at: </w:t>
      </w:r>
      <w:hyperlink r:id="rId4" w:history="1">
        <w:r w:rsidRPr="00880FB1">
          <w:rPr>
            <w:color w:val="0070C0"/>
            <w:u w:val="single"/>
            <w:lang w:val="en-US"/>
          </w:rPr>
          <w:t>https://www.london.gov.uk/sites/default/files/the_london_plan_2021.pdf</w:t>
        </w:r>
      </w:hyperlink>
      <w:r w:rsidRPr="00880FB1">
        <w:rPr>
          <w:color w:val="000000" w:themeColor="text1"/>
        </w:rPr>
        <w:t xml:space="preserve"> </w:t>
      </w:r>
    </w:p>
    <w:p w14:paraId="55C1B002" w14:textId="77777777" w:rsidR="00880FB1" w:rsidRPr="00880FB1" w:rsidRDefault="00880FB1" w:rsidP="00880FB1">
      <w:pPr>
        <w:pStyle w:val="EndnoteText"/>
        <w:rPr>
          <w:color w:val="000000" w:themeColor="text1"/>
        </w:rPr>
      </w:pPr>
    </w:p>
  </w:endnote>
  <w:endnote w:id="6">
    <w:p w14:paraId="2089C693" w14:textId="5DCAE2B2"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w:t>
      </w:r>
      <w:r w:rsidR="00BE7F90" w:rsidRPr="00880FB1">
        <w:rPr>
          <w:color w:val="000000" w:themeColor="text1"/>
        </w:rPr>
        <w:t xml:space="preserve">Greater London Authority (2021) The London Plan. Available at: </w:t>
      </w:r>
      <w:hyperlink r:id="rId5" w:history="1">
        <w:r w:rsidR="00BE7F90" w:rsidRPr="00880FB1">
          <w:rPr>
            <w:color w:val="0070C0"/>
            <w:u w:val="single"/>
            <w:lang w:val="en-US"/>
          </w:rPr>
          <w:t>https://www.london.gov.uk/sites/default/files/the_london_plan_2021.pdf</w:t>
        </w:r>
      </w:hyperlink>
    </w:p>
    <w:p w14:paraId="55AA8024" w14:textId="77777777" w:rsidR="00BE7F90" w:rsidRPr="00880FB1" w:rsidRDefault="00BE7F90" w:rsidP="00880FB1">
      <w:pPr>
        <w:pStyle w:val="EndnoteText"/>
        <w:rPr>
          <w:color w:val="000000" w:themeColor="text1"/>
        </w:rPr>
      </w:pPr>
    </w:p>
  </w:endnote>
  <w:endnote w:id="7">
    <w:p w14:paraId="4CA30E68" w14:textId="48A4ADBE"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Appeal reference: APP/W4515/W/17/3184901</w:t>
      </w:r>
    </w:p>
    <w:p w14:paraId="09CC7092" w14:textId="77777777" w:rsidR="00880FB1" w:rsidRPr="00880FB1" w:rsidRDefault="00880FB1" w:rsidP="00880FB1">
      <w:pPr>
        <w:pStyle w:val="EndnoteText"/>
        <w:rPr>
          <w:color w:val="000000" w:themeColor="text1"/>
        </w:rPr>
      </w:pPr>
    </w:p>
  </w:endnote>
  <w:endnote w:id="8">
    <w:p w14:paraId="266C7E47"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Public Health England (2021) </w:t>
      </w:r>
      <w:r w:rsidRPr="00880FB1">
        <w:rPr>
          <w:i/>
          <w:iCs/>
          <w:color w:val="000000" w:themeColor="text1"/>
        </w:rPr>
        <w:t>Patterns and trends in excess weight among adults in England.</w:t>
      </w:r>
      <w:r w:rsidRPr="00880FB1">
        <w:rPr>
          <w:color w:val="000000" w:themeColor="text1"/>
        </w:rPr>
        <w:t xml:space="preserve"> Available at: </w:t>
      </w:r>
      <w:hyperlink r:id="rId6" w:history="1">
        <w:r w:rsidRPr="00880FB1">
          <w:rPr>
            <w:color w:val="0070C0"/>
            <w:u w:val="single"/>
            <w:lang w:val="en-US"/>
          </w:rPr>
          <w:t>https://publichealthmatters.blog.gov.uk/2021/03/04/patterns-and-trends-in-excess-weight-among-adults-in-england/</w:t>
        </w:r>
      </w:hyperlink>
      <w:r w:rsidRPr="00880FB1">
        <w:rPr>
          <w:color w:val="000000" w:themeColor="text1"/>
        </w:rPr>
        <w:t xml:space="preserve"> </w:t>
      </w:r>
    </w:p>
    <w:p w14:paraId="47F38F18" w14:textId="77777777" w:rsidR="00880FB1" w:rsidRPr="00880FB1" w:rsidRDefault="00880FB1" w:rsidP="00880FB1">
      <w:pPr>
        <w:pStyle w:val="EndnoteText"/>
        <w:rPr>
          <w:color w:val="000000" w:themeColor="text1"/>
        </w:rPr>
      </w:pPr>
    </w:p>
  </w:endnote>
  <w:endnote w:id="9">
    <w:p w14:paraId="24BA58D1" w14:textId="77777777" w:rsidR="00880FB1"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National Obesity Observatory (2010) </w:t>
      </w:r>
      <w:r w:rsidRPr="00880FB1">
        <w:rPr>
          <w:i/>
          <w:iCs/>
          <w:color w:val="000000" w:themeColor="text1"/>
        </w:rPr>
        <w:t>Briefing note: Obesity and life expectancy</w:t>
      </w:r>
      <w:r w:rsidRPr="00880FB1">
        <w:rPr>
          <w:color w:val="000000" w:themeColor="text1"/>
        </w:rPr>
        <w:t>. Oxford: National Obesity Observatory.</w:t>
      </w:r>
    </w:p>
    <w:p w14:paraId="355C506E" w14:textId="0D0C1CD2" w:rsidR="001D0086" w:rsidRDefault="001D0086" w:rsidP="00880FB1">
      <w:pPr>
        <w:pStyle w:val="EndnoteText"/>
        <w:rPr>
          <w:color w:val="000000" w:themeColor="text1"/>
        </w:rPr>
      </w:pPr>
      <w:r w:rsidRPr="00880FB1">
        <w:rPr>
          <w:color w:val="000000" w:themeColor="text1"/>
        </w:rPr>
        <w:t>Bhaskaran, K., dos-Santos-Silva, I., Leon, D., Douglas, I. and Smeeth, L. (2018) Association of BMI with overall and cause-specific    mortality: a population-based cohort study of 3·6 million adults in the UK. </w:t>
      </w:r>
      <w:r w:rsidRPr="00880FB1">
        <w:rPr>
          <w:i/>
          <w:iCs/>
          <w:color w:val="000000" w:themeColor="text1"/>
        </w:rPr>
        <w:t>The Lancet Diabetes &amp; Endocrinology</w:t>
      </w:r>
      <w:r w:rsidRPr="00880FB1">
        <w:rPr>
          <w:color w:val="000000" w:themeColor="text1"/>
        </w:rPr>
        <w:t>, 6(12), pp.944-953.</w:t>
      </w:r>
    </w:p>
    <w:p w14:paraId="1604F43D" w14:textId="77777777" w:rsidR="00880FB1" w:rsidRPr="00880FB1" w:rsidRDefault="00880FB1" w:rsidP="00880FB1">
      <w:pPr>
        <w:pStyle w:val="EndnoteText"/>
        <w:rPr>
          <w:color w:val="000000" w:themeColor="text1"/>
        </w:rPr>
      </w:pPr>
    </w:p>
  </w:endnote>
  <w:endnote w:id="10">
    <w:p w14:paraId="31865BD6"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Griggs, J., Walker, R. (2008) </w:t>
      </w:r>
      <w:r w:rsidRPr="00880FB1">
        <w:rPr>
          <w:i/>
          <w:iCs/>
          <w:color w:val="000000" w:themeColor="text1"/>
        </w:rPr>
        <w:t>The costs of child poverty for individuals and society</w:t>
      </w:r>
      <w:r w:rsidRPr="00880FB1">
        <w:rPr>
          <w:color w:val="000000" w:themeColor="text1"/>
        </w:rPr>
        <w:t>: A literature review. Joseph Rowntree Foundation.</w:t>
      </w:r>
    </w:p>
    <w:p w14:paraId="2D1198E2" w14:textId="77777777" w:rsidR="00880FB1" w:rsidRPr="00880FB1" w:rsidRDefault="00880FB1" w:rsidP="00880FB1">
      <w:pPr>
        <w:pStyle w:val="EndnoteText"/>
        <w:rPr>
          <w:color w:val="000000" w:themeColor="text1"/>
        </w:rPr>
      </w:pPr>
    </w:p>
  </w:endnote>
  <w:endnote w:id="11">
    <w:p w14:paraId="0A7DEC59" w14:textId="77777777"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NHS Digital (2020) </w:t>
      </w:r>
      <w:r w:rsidRPr="00880FB1">
        <w:rPr>
          <w:i/>
          <w:iCs/>
          <w:color w:val="000000" w:themeColor="text1"/>
        </w:rPr>
        <w:t>Health Survey for England 2019.</w:t>
      </w:r>
      <w:r w:rsidRPr="00880FB1">
        <w:rPr>
          <w:color w:val="000000" w:themeColor="text1"/>
        </w:rPr>
        <w:t xml:space="preserve"> Available at:</w:t>
      </w:r>
      <w:r w:rsidRPr="00880FB1">
        <w:rPr>
          <w:color w:val="0070C0"/>
          <w:u w:val="single"/>
          <w:lang w:val="en-US"/>
        </w:rPr>
        <w:t xml:space="preserve"> </w:t>
      </w:r>
      <w:hyperlink r:id="rId7" w:history="1">
        <w:r w:rsidRPr="00880FB1">
          <w:rPr>
            <w:color w:val="0070C0"/>
            <w:u w:val="single"/>
            <w:lang w:val="en-US"/>
          </w:rPr>
          <w:t>https://digital.nhs.uk/data-and-information/publications/statistical/health-survey-for-england/2019</w:t>
        </w:r>
      </w:hyperlink>
    </w:p>
    <w:p w14:paraId="2D4B5C8D" w14:textId="77777777" w:rsidR="00880FB1" w:rsidRPr="00880FB1" w:rsidRDefault="00880FB1" w:rsidP="00880FB1">
      <w:pPr>
        <w:pStyle w:val="EndnoteText"/>
        <w:rPr>
          <w:color w:val="000000" w:themeColor="text1"/>
        </w:rPr>
      </w:pPr>
    </w:p>
  </w:endnote>
  <w:endnote w:id="12">
    <w:p w14:paraId="1BE0D060"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PHE Fingertips (2021) </w:t>
      </w:r>
      <w:r w:rsidRPr="00880FB1">
        <w:rPr>
          <w:i/>
          <w:iCs/>
          <w:color w:val="000000" w:themeColor="text1"/>
        </w:rPr>
        <w:t>Health Profile for England 2021.</w:t>
      </w:r>
      <w:r w:rsidRPr="00880FB1">
        <w:rPr>
          <w:color w:val="000000" w:themeColor="text1"/>
        </w:rPr>
        <w:t xml:space="preserve"> Available at: </w:t>
      </w:r>
      <w:hyperlink r:id="rId8" w:history="1">
        <w:r w:rsidRPr="00880FB1">
          <w:rPr>
            <w:color w:val="0070C0"/>
            <w:u w:val="single"/>
            <w:lang w:val="en-US"/>
          </w:rPr>
          <w:t>https://fingertips.phe.org.uk/static-reports/health-profile-for-england/hpfe_report.html</w:t>
        </w:r>
      </w:hyperlink>
      <w:r w:rsidRPr="00880FB1">
        <w:rPr>
          <w:color w:val="000000" w:themeColor="text1"/>
        </w:rPr>
        <w:t xml:space="preserve"> </w:t>
      </w:r>
    </w:p>
    <w:p w14:paraId="5581E7DC" w14:textId="77777777" w:rsidR="00880FB1" w:rsidRPr="00880FB1" w:rsidRDefault="00880FB1" w:rsidP="00880FB1">
      <w:pPr>
        <w:pStyle w:val="EndnoteText"/>
        <w:rPr>
          <w:color w:val="000000" w:themeColor="text1"/>
        </w:rPr>
      </w:pPr>
    </w:p>
  </w:endnote>
  <w:endnote w:id="13">
    <w:p w14:paraId="1AA6B5A4" w14:textId="379F7265"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NHS Digital (2020) </w:t>
      </w:r>
      <w:r w:rsidRPr="00880FB1">
        <w:rPr>
          <w:i/>
          <w:iCs/>
          <w:color w:val="000000" w:themeColor="text1"/>
        </w:rPr>
        <w:t>National Child Measurement Programme, England 2019/20 School Year.</w:t>
      </w:r>
      <w:r w:rsidRPr="00880FB1">
        <w:rPr>
          <w:color w:val="000000" w:themeColor="text1"/>
        </w:rPr>
        <w:t xml:space="preserve"> Available at: </w:t>
      </w:r>
      <w:hyperlink r:id="rId9" w:history="1">
        <w:r w:rsidR="00880FB1" w:rsidRPr="00D65CBD">
          <w:rPr>
            <w:rStyle w:val="Hyperlink"/>
            <w:lang w:val="en-US"/>
          </w:rPr>
          <w:t>https://digital.nhs.uk/data-and-information/publications/statistical/national-child-measurement-programme/2019-20-school-year/ethnicity</w:t>
        </w:r>
      </w:hyperlink>
    </w:p>
    <w:p w14:paraId="2B8F3451" w14:textId="77777777" w:rsidR="00880FB1" w:rsidRPr="00880FB1" w:rsidRDefault="00880FB1" w:rsidP="00880FB1">
      <w:pPr>
        <w:pStyle w:val="EndnoteText"/>
        <w:rPr>
          <w:color w:val="000000" w:themeColor="text1"/>
        </w:rPr>
      </w:pPr>
    </w:p>
  </w:endnote>
  <w:endnote w:id="14">
    <w:p w14:paraId="089301FD"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Pham, T., Carpenter, J., Morris, T., Sharma, M. and Petersen, I. (2019) Ethnic Differences in the Prevalence of Type 2 Diabetes Diagnoses in the UK: Cross-Sectional Analysis of the Health Improvement Network Primary Care Database. </w:t>
      </w:r>
      <w:r w:rsidRPr="00880FB1">
        <w:rPr>
          <w:i/>
          <w:iCs/>
          <w:color w:val="000000" w:themeColor="text1"/>
        </w:rPr>
        <w:t>Clinical Epidemiology</w:t>
      </w:r>
      <w:r w:rsidRPr="00880FB1">
        <w:rPr>
          <w:color w:val="000000" w:themeColor="text1"/>
        </w:rPr>
        <w:t>, Volume 11, pp.1081-1088.</w:t>
      </w:r>
    </w:p>
    <w:p w14:paraId="3775C397" w14:textId="77777777" w:rsidR="00880FB1" w:rsidRPr="00880FB1" w:rsidRDefault="00880FB1" w:rsidP="00880FB1">
      <w:pPr>
        <w:pStyle w:val="EndnoteText"/>
        <w:rPr>
          <w:color w:val="000000" w:themeColor="text1"/>
        </w:rPr>
      </w:pPr>
    </w:p>
  </w:endnote>
  <w:endnote w:id="15">
    <w:p w14:paraId="0ABFFD3D" w14:textId="77777777"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NHS Digital (2021) </w:t>
      </w:r>
      <w:r w:rsidRPr="00880FB1">
        <w:rPr>
          <w:i/>
          <w:iCs/>
          <w:color w:val="000000" w:themeColor="text1"/>
        </w:rPr>
        <w:t>Statistics on Obesity, Physical Activity and Diet, England 2021</w:t>
      </w:r>
      <w:r w:rsidRPr="00880FB1">
        <w:rPr>
          <w:color w:val="000000" w:themeColor="text1"/>
        </w:rPr>
        <w:t xml:space="preserve">. Available at: </w:t>
      </w:r>
      <w:hyperlink r:id="rId10" w:history="1">
        <w:r w:rsidRPr="00880FB1">
          <w:rPr>
            <w:color w:val="0070C0"/>
            <w:u w:val="single"/>
            <w:lang w:val="en-US"/>
          </w:rPr>
          <w:t>https://digital.nhs.uk/data-and-information/publications/statistical/statistics-on-obesity-physical-activity-and-diet/england-2021</w:t>
        </w:r>
      </w:hyperlink>
    </w:p>
    <w:p w14:paraId="31918DFF" w14:textId="77777777" w:rsidR="00880FB1" w:rsidRPr="00880FB1" w:rsidRDefault="00880FB1" w:rsidP="00880FB1">
      <w:pPr>
        <w:pStyle w:val="EndnoteText"/>
        <w:rPr>
          <w:color w:val="000000" w:themeColor="text1"/>
        </w:rPr>
      </w:pPr>
    </w:p>
    <w:p w14:paraId="0262B4BA" w14:textId="00F99A4D" w:rsidR="001D0086" w:rsidRDefault="001D0086" w:rsidP="00880FB1">
      <w:pPr>
        <w:pStyle w:val="EndnoteText"/>
        <w:rPr>
          <w:color w:val="0070C0"/>
          <w:u w:val="single"/>
          <w:lang w:val="en-US"/>
        </w:rPr>
      </w:pPr>
      <w:r w:rsidRPr="00880FB1">
        <w:rPr>
          <w:color w:val="000000" w:themeColor="text1"/>
        </w:rPr>
        <w:t xml:space="preserve">Public Health England (2017) </w:t>
      </w:r>
      <w:r w:rsidRPr="00880FB1">
        <w:rPr>
          <w:i/>
          <w:iCs/>
          <w:color w:val="000000" w:themeColor="text1"/>
        </w:rPr>
        <w:t>Health matters: obesity and the food environment</w:t>
      </w:r>
      <w:r w:rsidRPr="00880FB1">
        <w:rPr>
          <w:color w:val="000000" w:themeColor="text1"/>
        </w:rPr>
        <w:t xml:space="preserve">. Available at: </w:t>
      </w:r>
      <w:hyperlink r:id="rId11" w:anchor="scale-of-the-obesity-problem" w:history="1">
        <w:r w:rsidR="00880FB1" w:rsidRPr="00D65CBD">
          <w:rPr>
            <w:rStyle w:val="Hyperlink"/>
            <w:lang w:val="en-US"/>
          </w:rPr>
          <w:t>https://www.gov.uk/government/publications/health-matters-obesity-and-the-food-environment/health-matters-obesity-and-the-food-environment--2#scale-of-the-obesity-problem</w:t>
        </w:r>
      </w:hyperlink>
    </w:p>
    <w:p w14:paraId="2324EDBD" w14:textId="77777777" w:rsidR="00880FB1" w:rsidRPr="00880FB1" w:rsidRDefault="00880FB1" w:rsidP="00880FB1">
      <w:pPr>
        <w:pStyle w:val="EndnoteText"/>
        <w:rPr>
          <w:color w:val="000000" w:themeColor="text1"/>
        </w:rPr>
      </w:pPr>
    </w:p>
  </w:endnote>
  <w:endnote w:id="16">
    <w:p w14:paraId="1FBBF374" w14:textId="77777777"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NHS Digital (2020) </w:t>
      </w:r>
      <w:r w:rsidRPr="00880FB1">
        <w:rPr>
          <w:i/>
          <w:iCs/>
          <w:color w:val="000000" w:themeColor="text1"/>
        </w:rPr>
        <w:t>Health Survey for England 2019.</w:t>
      </w:r>
      <w:r w:rsidRPr="00880FB1">
        <w:rPr>
          <w:color w:val="000000" w:themeColor="text1"/>
        </w:rPr>
        <w:t xml:space="preserve"> Available at: </w:t>
      </w:r>
      <w:hyperlink r:id="rId12" w:history="1">
        <w:r w:rsidRPr="00880FB1">
          <w:rPr>
            <w:color w:val="0070C0"/>
            <w:u w:val="single"/>
            <w:lang w:val="en-US"/>
          </w:rPr>
          <w:t>https://digital.nhs.uk/data-and-information/publications/statistical/health-survey-for-england/2019</w:t>
        </w:r>
      </w:hyperlink>
      <w:r w:rsidRPr="00880FB1">
        <w:rPr>
          <w:color w:val="0070C0"/>
          <w:u w:val="single"/>
          <w:lang w:val="en-US"/>
        </w:rPr>
        <w:t xml:space="preserve"> </w:t>
      </w:r>
    </w:p>
    <w:p w14:paraId="12AFF622" w14:textId="77777777" w:rsidR="00880FB1" w:rsidRPr="00880FB1" w:rsidRDefault="00880FB1" w:rsidP="00880FB1">
      <w:pPr>
        <w:pStyle w:val="EndnoteText"/>
        <w:rPr>
          <w:color w:val="000000" w:themeColor="text1"/>
        </w:rPr>
      </w:pPr>
    </w:p>
  </w:endnote>
  <w:endnote w:id="17">
    <w:p w14:paraId="0E374E1C" w14:textId="77777777" w:rsidR="00DD389A" w:rsidRDefault="00DD389A" w:rsidP="00DD389A">
      <w:pPr>
        <w:pStyle w:val="EndnoteText"/>
        <w:rPr>
          <w:color w:val="000000" w:themeColor="text1"/>
        </w:rPr>
      </w:pPr>
      <w:r w:rsidRPr="00880FB1">
        <w:rPr>
          <w:rStyle w:val="EndnoteReference"/>
          <w:color w:val="000000" w:themeColor="text1"/>
        </w:rPr>
        <w:endnoteRef/>
      </w:r>
      <w:r w:rsidRPr="00880FB1">
        <w:rPr>
          <w:color w:val="000000" w:themeColor="text1"/>
        </w:rPr>
        <w:t xml:space="preserve"> Public Health England Fingertips (2021) Obesity Profile. Available at: </w:t>
      </w:r>
      <w:hyperlink r:id="rId13" w:history="1">
        <w:r w:rsidRPr="00880FB1">
          <w:rPr>
            <w:color w:val="0070C0"/>
            <w:u w:val="single"/>
            <w:lang w:val="en-US"/>
          </w:rPr>
          <w:t>https://fingertips.phe.org.uk/profile/national-child-measurement-programme</w:t>
        </w:r>
      </w:hyperlink>
      <w:r w:rsidRPr="00880FB1">
        <w:rPr>
          <w:color w:val="000000" w:themeColor="text1"/>
        </w:rPr>
        <w:t xml:space="preserve"> </w:t>
      </w:r>
    </w:p>
    <w:p w14:paraId="7ABC5160" w14:textId="77777777" w:rsidR="00DD389A" w:rsidRPr="00880FB1" w:rsidRDefault="00DD389A" w:rsidP="00DD389A">
      <w:pPr>
        <w:pStyle w:val="EndnoteText"/>
        <w:rPr>
          <w:color w:val="000000" w:themeColor="text1"/>
        </w:rPr>
      </w:pPr>
    </w:p>
  </w:endnote>
  <w:endnote w:id="18">
    <w:p w14:paraId="668D9D8B" w14:textId="77777777" w:rsidR="001D0086" w:rsidRPr="00880FB1"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NHS (2019) Obesity – Causes. Available at: </w:t>
      </w:r>
      <w:hyperlink r:id="rId14" w:history="1">
        <w:r w:rsidRPr="00880FB1">
          <w:rPr>
            <w:color w:val="000000" w:themeColor="text1"/>
          </w:rPr>
          <w:t>https://www.nhs.uk/conditions/obesity/causes/</w:t>
        </w:r>
      </w:hyperlink>
      <w:r w:rsidRPr="00880FB1">
        <w:rPr>
          <w:color w:val="000000" w:themeColor="text1"/>
        </w:rPr>
        <w:t xml:space="preserve"> </w:t>
      </w:r>
    </w:p>
  </w:endnote>
  <w:endnote w:id="19">
    <w:p w14:paraId="61E1DD66" w14:textId="0EB801D0"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Cancer Research UK (2021) What causes obesity? Available at: </w:t>
      </w:r>
      <w:hyperlink r:id="rId15" w:history="1">
        <w:r w:rsidR="00880FB1" w:rsidRPr="00D65CBD">
          <w:rPr>
            <w:rStyle w:val="Hyperlink"/>
            <w:lang w:val="en-US"/>
          </w:rPr>
          <w:t>https://www.cancerresearchuk.org/about-cancer/causes-of-cancer/obesity-weight-and-cancer/what-causes-obesity</w:t>
        </w:r>
      </w:hyperlink>
    </w:p>
    <w:p w14:paraId="7EAA23DF" w14:textId="77777777" w:rsidR="00880FB1" w:rsidRPr="00880FB1" w:rsidRDefault="00880FB1" w:rsidP="00880FB1">
      <w:pPr>
        <w:pStyle w:val="EndnoteText"/>
        <w:rPr>
          <w:color w:val="000000" w:themeColor="text1"/>
        </w:rPr>
      </w:pPr>
    </w:p>
  </w:endnote>
  <w:endnote w:id="20">
    <w:p w14:paraId="30F76E38"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Public Health Matters (2016) Obesity and the environment: The impact of fast food. Available at: </w:t>
      </w:r>
      <w:hyperlink r:id="rId16" w:history="1">
        <w:r w:rsidRPr="00880FB1">
          <w:rPr>
            <w:color w:val="0070C0"/>
            <w:u w:val="single"/>
            <w:lang w:val="en-US"/>
          </w:rPr>
          <w:t>https://publichealthmatters.blog.gov.uk/2016/10/21/obesity-and-the-environment-the-impact-of-fast-food/</w:t>
        </w:r>
      </w:hyperlink>
      <w:r w:rsidRPr="00880FB1">
        <w:rPr>
          <w:color w:val="000000" w:themeColor="text1"/>
        </w:rPr>
        <w:t xml:space="preserve"> </w:t>
      </w:r>
    </w:p>
    <w:p w14:paraId="39C07419" w14:textId="77777777" w:rsidR="00880FB1" w:rsidRPr="00880FB1" w:rsidRDefault="00880FB1" w:rsidP="00880FB1">
      <w:pPr>
        <w:pStyle w:val="EndnoteText"/>
        <w:rPr>
          <w:color w:val="000000" w:themeColor="text1"/>
        </w:rPr>
      </w:pPr>
    </w:p>
  </w:endnote>
  <w:endnote w:id="21">
    <w:p w14:paraId="1F4C1DDB"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w:t>
      </w:r>
      <w:bookmarkStart w:id="1" w:name="_Hlk79584763"/>
      <w:r w:rsidRPr="00880FB1">
        <w:rPr>
          <w:color w:val="000000" w:themeColor="text1"/>
        </w:rPr>
        <w:t xml:space="preserve">Government Office for Science (2007) Tackling Obesities: Future Choices- Project Report, 2nd Edition Available at: </w:t>
      </w:r>
      <w:hyperlink r:id="rId17" w:history="1">
        <w:r w:rsidRPr="00880FB1">
          <w:rPr>
            <w:color w:val="0070C0"/>
            <w:u w:val="single"/>
            <w:lang w:val="en-US"/>
          </w:rPr>
          <w:t>https://www.gov.uk/government/publications/reducing-obesity-future-choices</w:t>
        </w:r>
      </w:hyperlink>
      <w:r w:rsidRPr="00880FB1">
        <w:rPr>
          <w:color w:val="000000" w:themeColor="text1"/>
        </w:rPr>
        <w:t xml:space="preserve"> </w:t>
      </w:r>
      <w:bookmarkEnd w:id="1"/>
    </w:p>
    <w:p w14:paraId="5F4D2980" w14:textId="77777777" w:rsidR="00880FB1" w:rsidRPr="00880FB1" w:rsidRDefault="00880FB1" w:rsidP="00880FB1">
      <w:pPr>
        <w:pStyle w:val="EndnoteText"/>
        <w:rPr>
          <w:color w:val="000000" w:themeColor="text1"/>
        </w:rPr>
      </w:pPr>
    </w:p>
  </w:endnote>
  <w:endnote w:id="22">
    <w:p w14:paraId="46222749" w14:textId="3CEA8FE2"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NHS (2019) Why we should sit less. Available at:</w:t>
      </w:r>
      <w:r w:rsidRPr="00880FB1">
        <w:rPr>
          <w:color w:val="0070C0"/>
          <w:u w:val="single"/>
          <w:lang w:val="en-US"/>
        </w:rPr>
        <w:t xml:space="preserve"> </w:t>
      </w:r>
      <w:hyperlink r:id="rId18" w:anchor=":%7E:text=To%20reduce%20our%20risk%20of,week%2C%20and%20reduce%20sitting%20time.&amp;text=Sitting%20for%20long%20periods%20is,and%20break%20down%20body%20fat" w:history="1">
        <w:r w:rsidR="00880FB1" w:rsidRPr="00D65CBD">
          <w:rPr>
            <w:rStyle w:val="Hyperlink"/>
            <w:lang w:val="en-US"/>
          </w:rPr>
          <w:t>https://www.nhs.uk/live-well/exercise/why-sitting-too-much-is-bad-for-us/#:%7E:text=To%20reduce%20our%20risk%20of,week%2C%20and%20reduce%20sitting%20time.&amp;text=Sitting%20for%20long%20periods%20is,and%20break%20down%20body%20fat</w:t>
        </w:r>
      </w:hyperlink>
      <w:r w:rsidRPr="00880FB1">
        <w:rPr>
          <w:color w:val="0070C0"/>
          <w:u w:val="single"/>
          <w:lang w:val="en-US"/>
        </w:rPr>
        <w:t>.</w:t>
      </w:r>
    </w:p>
    <w:p w14:paraId="1CC9261C" w14:textId="77777777" w:rsidR="00880FB1" w:rsidRPr="00880FB1" w:rsidRDefault="00880FB1" w:rsidP="00880FB1">
      <w:pPr>
        <w:pStyle w:val="EndnoteText"/>
        <w:rPr>
          <w:color w:val="000000" w:themeColor="text1"/>
        </w:rPr>
      </w:pPr>
    </w:p>
  </w:endnote>
  <w:endnote w:id="23">
    <w:p w14:paraId="2749F55C"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Kruger et al. (2014). </w:t>
      </w:r>
      <w:r w:rsidRPr="00880FB1">
        <w:rPr>
          <w:i/>
          <w:iCs/>
          <w:color w:val="000000" w:themeColor="text1"/>
        </w:rPr>
        <w:t>Local concentration of fast-food outlets is associated with poor nutrition and obesity</w:t>
      </w:r>
      <w:r w:rsidRPr="00880FB1">
        <w:rPr>
          <w:color w:val="000000" w:themeColor="text1"/>
        </w:rPr>
        <w:t xml:space="preserve">. American Journal of Health Promotion. 28(5), 340-3. </w:t>
      </w:r>
    </w:p>
    <w:p w14:paraId="15089B7A" w14:textId="77777777" w:rsidR="00880FB1" w:rsidRPr="00880FB1" w:rsidRDefault="00880FB1" w:rsidP="00880FB1">
      <w:pPr>
        <w:pStyle w:val="EndnoteText"/>
        <w:rPr>
          <w:color w:val="000000" w:themeColor="text1"/>
        </w:rPr>
      </w:pPr>
    </w:p>
  </w:endnote>
  <w:endnote w:id="24">
    <w:p w14:paraId="5B569C18"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Boyland et al. (2016). </w:t>
      </w:r>
      <w:r w:rsidRPr="00880FB1">
        <w:rPr>
          <w:i/>
          <w:iCs/>
          <w:color w:val="000000" w:themeColor="text1"/>
        </w:rPr>
        <w:t>Advertising as a cue to consume: a systematic review and meta-analysis of the effects of acute exposure to unhealthy food and non-alcoholic beverage advertising on intake in children and adults</w:t>
      </w:r>
      <w:r w:rsidRPr="00880FB1">
        <w:rPr>
          <w:color w:val="000000" w:themeColor="text1"/>
        </w:rPr>
        <w:t>. American Journal of Clinical Nutrition. 103(20), 519-33.</w:t>
      </w:r>
    </w:p>
    <w:p w14:paraId="158E1B5E" w14:textId="77777777" w:rsidR="00880FB1" w:rsidRPr="00880FB1" w:rsidRDefault="00880FB1" w:rsidP="00880FB1">
      <w:pPr>
        <w:pStyle w:val="EndnoteText"/>
        <w:rPr>
          <w:color w:val="000000" w:themeColor="text1"/>
        </w:rPr>
      </w:pPr>
    </w:p>
  </w:endnote>
  <w:endnote w:id="25">
    <w:p w14:paraId="24AF1E1C"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El Sayed, Scarborough &amp; Galea (2012). </w:t>
      </w:r>
      <w:r w:rsidRPr="00880FB1">
        <w:rPr>
          <w:i/>
          <w:iCs/>
          <w:color w:val="000000" w:themeColor="text1"/>
        </w:rPr>
        <w:t>Unevenly distributed: a systemic review of the health literature about socioeconomic inequalities in adult obesity in the United Kingdom</w:t>
      </w:r>
      <w:r w:rsidRPr="00880FB1">
        <w:rPr>
          <w:color w:val="000000" w:themeColor="text1"/>
        </w:rPr>
        <w:t xml:space="preserve">. BMC Public Health. </w:t>
      </w:r>
    </w:p>
    <w:p w14:paraId="67CDD417" w14:textId="77777777" w:rsidR="00880FB1" w:rsidRPr="00880FB1" w:rsidRDefault="00880FB1" w:rsidP="00880FB1">
      <w:pPr>
        <w:pStyle w:val="EndnoteText"/>
        <w:rPr>
          <w:color w:val="000000" w:themeColor="text1"/>
        </w:rPr>
      </w:pPr>
    </w:p>
  </w:endnote>
  <w:endnote w:id="26">
    <w:p w14:paraId="6D22E665" w14:textId="70AA30E1"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Gov.UK (2020) National Diet and Nutrition Survey. Available at: </w:t>
      </w:r>
      <w:hyperlink r:id="rId19" w:history="1">
        <w:r w:rsidRPr="00880FB1">
          <w:rPr>
            <w:color w:val="0070C0"/>
            <w:u w:val="single"/>
            <w:lang w:val="en-US"/>
          </w:rPr>
          <w:t>https://www.gov.uk/government/collections/national-diet-and-nutrition-survey</w:t>
        </w:r>
      </w:hyperlink>
      <w:r w:rsidR="008626F1" w:rsidRPr="00880FB1">
        <w:rPr>
          <w:color w:val="0070C0"/>
          <w:u w:val="single"/>
          <w:lang w:val="en-US"/>
        </w:rPr>
        <w:t xml:space="preserve"> </w:t>
      </w:r>
      <w:r w:rsidRPr="00880FB1">
        <w:rPr>
          <w:color w:val="0070C0"/>
          <w:u w:val="single"/>
          <w:lang w:val="en-US"/>
        </w:rPr>
        <w:t xml:space="preserve"> </w:t>
      </w:r>
    </w:p>
    <w:p w14:paraId="0069BD2E" w14:textId="77777777" w:rsidR="00880FB1" w:rsidRPr="00880FB1" w:rsidRDefault="00880FB1" w:rsidP="00880FB1">
      <w:pPr>
        <w:pStyle w:val="EndnoteText"/>
        <w:rPr>
          <w:color w:val="000000" w:themeColor="text1"/>
        </w:rPr>
      </w:pPr>
    </w:p>
  </w:endnote>
  <w:endnote w:id="27">
    <w:p w14:paraId="6EEDA2CE"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NHS (2019) Obesity. Available at: </w:t>
      </w:r>
      <w:hyperlink r:id="rId20" w:history="1">
        <w:r w:rsidRPr="00880FB1">
          <w:rPr>
            <w:color w:val="0070C0"/>
            <w:u w:val="single"/>
            <w:lang w:val="en-US"/>
          </w:rPr>
          <w:t>https://www.nhs.uk/conditions/obesity/</w:t>
        </w:r>
      </w:hyperlink>
      <w:r w:rsidRPr="00880FB1">
        <w:rPr>
          <w:color w:val="000000" w:themeColor="text1"/>
        </w:rPr>
        <w:t xml:space="preserve"> </w:t>
      </w:r>
    </w:p>
    <w:p w14:paraId="4175D2EB" w14:textId="77777777" w:rsidR="00880FB1" w:rsidRPr="00880FB1" w:rsidRDefault="00880FB1" w:rsidP="00880FB1">
      <w:pPr>
        <w:pStyle w:val="EndnoteText"/>
        <w:rPr>
          <w:color w:val="000000" w:themeColor="text1"/>
        </w:rPr>
      </w:pPr>
    </w:p>
  </w:endnote>
  <w:endnote w:id="28">
    <w:p w14:paraId="2D8BAB41" w14:textId="787185D2"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NHS (2019) Exercise. Available at: </w:t>
      </w:r>
      <w:hyperlink r:id="rId21" w:history="1">
        <w:r w:rsidR="00880FB1" w:rsidRPr="00D65CBD">
          <w:rPr>
            <w:rStyle w:val="Hyperlink"/>
            <w:lang w:val="en-US"/>
          </w:rPr>
          <w:t>https://www.nhs.uk/live-well/exercise/</w:t>
        </w:r>
      </w:hyperlink>
    </w:p>
    <w:p w14:paraId="2FF2DD64" w14:textId="77777777" w:rsidR="00880FB1" w:rsidRPr="00880FB1" w:rsidRDefault="00880FB1" w:rsidP="00880FB1">
      <w:pPr>
        <w:pStyle w:val="EndnoteText"/>
        <w:rPr>
          <w:color w:val="000000" w:themeColor="text1"/>
        </w:rPr>
      </w:pPr>
    </w:p>
  </w:endnote>
  <w:endnote w:id="29">
    <w:p w14:paraId="62359E2C" w14:textId="2649AFE9"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Gov.UK (2020) Physical Activity. Available at: </w:t>
      </w:r>
      <w:hyperlink r:id="rId22" w:history="1">
        <w:r w:rsidR="00880FB1" w:rsidRPr="00D65CBD">
          <w:rPr>
            <w:rStyle w:val="Hyperlink"/>
            <w:lang w:val="en-US"/>
          </w:rPr>
          <w:t>https://www.ethnicity-facts-figures.service.gov.uk/health/diet-and-exercise/physical-activity/latest</w:t>
        </w:r>
      </w:hyperlink>
    </w:p>
    <w:p w14:paraId="170C9986" w14:textId="77777777" w:rsidR="00880FB1" w:rsidRPr="00880FB1" w:rsidRDefault="00880FB1" w:rsidP="00880FB1">
      <w:pPr>
        <w:pStyle w:val="EndnoteText"/>
        <w:rPr>
          <w:color w:val="000000" w:themeColor="text1"/>
        </w:rPr>
      </w:pPr>
    </w:p>
  </w:endnote>
  <w:endnote w:id="30">
    <w:p w14:paraId="3E01FBB7" w14:textId="7CA53C44"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PHE Fingertips (2020/2021) Available at: </w:t>
      </w:r>
      <w:hyperlink r:id="rId23" w:history="1">
        <w:r w:rsidR="00880FB1" w:rsidRPr="00D65CBD">
          <w:rPr>
            <w:rStyle w:val="Hyperlink"/>
            <w:lang w:val="en-US"/>
          </w:rPr>
          <w:t>https://fingertips.phe.org.uk/</w:t>
        </w:r>
      </w:hyperlink>
    </w:p>
    <w:p w14:paraId="44D7B848" w14:textId="77777777" w:rsidR="00880FB1" w:rsidRPr="00880FB1" w:rsidRDefault="00880FB1" w:rsidP="00880FB1">
      <w:pPr>
        <w:pStyle w:val="EndnoteText"/>
        <w:rPr>
          <w:color w:val="000000" w:themeColor="text1"/>
        </w:rPr>
      </w:pPr>
    </w:p>
  </w:endnote>
  <w:endnote w:id="31">
    <w:p w14:paraId="6D226D60"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Public Health Matters (2019) Health Matters: Addressing the food environment as part of a local whole systems approach to obesity. Available at: </w:t>
      </w:r>
      <w:hyperlink r:id="rId24" w:history="1">
        <w:r w:rsidRPr="00880FB1">
          <w:rPr>
            <w:color w:val="0070C0"/>
            <w:u w:val="single"/>
            <w:lang w:val="en-US"/>
          </w:rPr>
          <w:t>https://publichealthmatters.blog.gov.uk/2019/08/08/health-matters-addressing-the-food-environment-as-part-of-a-local-whole-systems-approach-to-obesity/</w:t>
        </w:r>
      </w:hyperlink>
      <w:r w:rsidRPr="00880FB1">
        <w:rPr>
          <w:color w:val="000000" w:themeColor="text1"/>
        </w:rPr>
        <w:t xml:space="preserve"> </w:t>
      </w:r>
    </w:p>
    <w:p w14:paraId="243E2BD8" w14:textId="77777777" w:rsidR="00880FB1" w:rsidRPr="00880FB1" w:rsidRDefault="00880FB1" w:rsidP="00880FB1">
      <w:pPr>
        <w:pStyle w:val="EndnoteText"/>
        <w:rPr>
          <w:color w:val="000000" w:themeColor="text1"/>
        </w:rPr>
      </w:pPr>
    </w:p>
  </w:endnote>
  <w:endnote w:id="32">
    <w:p w14:paraId="5CCAEA2B"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Janssen, H., Davies, I., Richardson, L., &amp; Stevenson, L. (2018) Determinants of takeaway and </w:t>
      </w:r>
      <w:r w:rsidRPr="00880FB1">
        <w:rPr>
          <w:color w:val="000000" w:themeColor="text1"/>
        </w:rPr>
        <w:t>fast food consumption: A narrative review. Nutrition Research Reviews, 31(1), 16-34. doi:10.1017/S0954422417000178</w:t>
      </w:r>
    </w:p>
    <w:p w14:paraId="1F033348" w14:textId="77777777" w:rsidR="00880FB1" w:rsidRPr="00880FB1" w:rsidRDefault="00880FB1" w:rsidP="00880FB1">
      <w:pPr>
        <w:pStyle w:val="EndnoteText"/>
        <w:rPr>
          <w:color w:val="000000" w:themeColor="text1"/>
        </w:rPr>
      </w:pPr>
    </w:p>
  </w:endnote>
  <w:endnote w:id="33">
    <w:p w14:paraId="338DAD97" w14:textId="44AB12E5" w:rsidR="00880FB1" w:rsidRPr="00880FB1"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Public Health England (2017) Strategies for Encouraging Healthier ‘Out of Home’ Food Provision. Available at: </w:t>
      </w:r>
      <w:hyperlink r:id="rId25" w:history="1">
        <w:r w:rsidRPr="00880FB1">
          <w:rPr>
            <w:color w:val="0070C0"/>
            <w:u w:val="single"/>
            <w:lang w:val="en-US"/>
          </w:rPr>
          <w:t>https://assets.publishing.service.gov.uk/government/uploads/system/uploads/attachment_data/file/832910/Encouraging_healthier_out_of_home_food_provision_toolkit_for_local_councils.pdf</w:t>
        </w:r>
      </w:hyperlink>
    </w:p>
    <w:p w14:paraId="107E60B6" w14:textId="77777777" w:rsidR="001D0086" w:rsidRPr="00880FB1" w:rsidRDefault="001D0086" w:rsidP="00880FB1">
      <w:pPr>
        <w:pStyle w:val="EndnoteText"/>
        <w:rPr>
          <w:color w:val="000000" w:themeColor="text1"/>
        </w:rPr>
      </w:pPr>
      <w:r w:rsidRPr="00880FB1">
        <w:rPr>
          <w:color w:val="000000" w:themeColor="text1"/>
        </w:rPr>
        <w:t xml:space="preserve">Lachat C, Nago E, </w:t>
      </w:r>
      <w:r w:rsidRPr="00880FB1">
        <w:rPr>
          <w:color w:val="000000" w:themeColor="text1"/>
        </w:rPr>
        <w:t>Verstraeten R, Roberfroid D, Van Camp J, Kolsteren P. (2012) Eating out of home and its association with dietary intake: a systematic review of the evidence. Obes Rev Off J Int Assoc Study Obes. 2012 Apr;13(4):329–46.</w:t>
      </w:r>
    </w:p>
    <w:p w14:paraId="5B50E7AE" w14:textId="77777777" w:rsidR="001D0086" w:rsidRDefault="001D0086" w:rsidP="00880FB1">
      <w:pPr>
        <w:pStyle w:val="EndnoteText"/>
        <w:rPr>
          <w:color w:val="000000" w:themeColor="text1"/>
        </w:rPr>
      </w:pPr>
      <w:r w:rsidRPr="00880FB1">
        <w:rPr>
          <w:color w:val="000000" w:themeColor="text1"/>
        </w:rPr>
        <w:t>Jaworowska A, Blackham T, Davies IG, Stevenson L. (2013) Nutritional challenges and health implications of takeaway and fast food. Nutr Rev. 2013 May 1;71(5):310–8.</w:t>
      </w:r>
    </w:p>
    <w:p w14:paraId="1E679A04" w14:textId="77777777" w:rsidR="00880FB1" w:rsidRPr="00880FB1" w:rsidRDefault="00880FB1" w:rsidP="00880FB1">
      <w:pPr>
        <w:pStyle w:val="EndnoteText"/>
        <w:rPr>
          <w:color w:val="000000" w:themeColor="text1"/>
        </w:rPr>
      </w:pPr>
    </w:p>
  </w:endnote>
  <w:endnote w:id="34">
    <w:p w14:paraId="49D4D594"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Foresight (2007) Tackling Obesities: Future Choices – </w:t>
      </w:r>
      <w:r w:rsidRPr="00880FB1">
        <w:rPr>
          <w:color w:val="000000" w:themeColor="text1"/>
        </w:rPr>
        <w:t>Obesenogenic Environments – Evidence Review. Government Office for Science, London</w:t>
      </w:r>
    </w:p>
    <w:p w14:paraId="2A1D84B9" w14:textId="77777777" w:rsidR="00880FB1" w:rsidRPr="00880FB1" w:rsidRDefault="00880FB1" w:rsidP="00880FB1">
      <w:pPr>
        <w:pStyle w:val="EndnoteText"/>
        <w:rPr>
          <w:color w:val="000000" w:themeColor="text1"/>
        </w:rPr>
      </w:pPr>
    </w:p>
  </w:endnote>
  <w:endnote w:id="35">
    <w:p w14:paraId="051260AB" w14:textId="77777777" w:rsidR="001D0086" w:rsidRDefault="001D0086" w:rsidP="00880FB1">
      <w:pPr>
        <w:pStyle w:val="EndnoteText"/>
        <w:rPr>
          <w:color w:val="0070C0"/>
          <w:u w:val="single"/>
          <w:lang w:val="en-US"/>
        </w:rPr>
      </w:pPr>
      <w:r w:rsidRPr="00880FB1">
        <w:rPr>
          <w:rStyle w:val="EndnoteReference"/>
          <w:color w:val="000000" w:themeColor="text1"/>
        </w:rPr>
        <w:endnoteRef/>
      </w:r>
      <w:r w:rsidRPr="00880FB1">
        <w:rPr>
          <w:color w:val="000000" w:themeColor="text1"/>
        </w:rPr>
        <w:t xml:space="preserve"> Public Health England (2018) Fast food outlets: density by local authority in England. Available at: </w:t>
      </w:r>
      <w:hyperlink r:id="rId26" w:history="1">
        <w:r w:rsidRPr="00880FB1">
          <w:rPr>
            <w:color w:val="0070C0"/>
            <w:u w:val="single"/>
            <w:lang w:val="en-US"/>
          </w:rPr>
          <w:t>https://www.gov.uk/government/publications/fast-food-outlets-density-by-local-authority-in-england</w:t>
        </w:r>
      </w:hyperlink>
    </w:p>
    <w:p w14:paraId="3658AFD7" w14:textId="77777777" w:rsidR="00880FB1" w:rsidRPr="00880FB1" w:rsidRDefault="00880FB1" w:rsidP="00880FB1">
      <w:pPr>
        <w:pStyle w:val="EndnoteText"/>
        <w:rPr>
          <w:color w:val="000000" w:themeColor="text1"/>
        </w:rPr>
      </w:pPr>
    </w:p>
  </w:endnote>
  <w:endnote w:id="36">
    <w:p w14:paraId="2D1321B1"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Goffe L, Rushton S, White B et al. (2017). Relationship between mean daily energy intake and frequency of consumption of out-of-home meals in the UK National Diet and Nutrition Survey. International Journal of </w:t>
      </w:r>
      <w:r w:rsidRPr="00880FB1">
        <w:rPr>
          <w:color w:val="000000" w:themeColor="text1"/>
        </w:rPr>
        <w:t>Behavioral Nutrition and Physical Activity</w:t>
      </w:r>
    </w:p>
    <w:p w14:paraId="601BB2E5" w14:textId="77777777" w:rsidR="00880FB1" w:rsidRPr="00880FB1" w:rsidRDefault="00880FB1" w:rsidP="00880FB1">
      <w:pPr>
        <w:pStyle w:val="EndnoteText"/>
        <w:rPr>
          <w:color w:val="000000" w:themeColor="text1"/>
        </w:rPr>
      </w:pPr>
    </w:p>
  </w:endnote>
  <w:endnote w:id="37">
    <w:p w14:paraId="52004529"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Saunders P, Saunders A, Middleton J. (2015) Living in a 'fat swamp': exposure to multiple sources of accessible, cheap, energy-dense fast foods in a deprived community. Br J </w:t>
      </w:r>
      <w:r w:rsidRPr="00880FB1">
        <w:rPr>
          <w:color w:val="000000" w:themeColor="text1"/>
        </w:rPr>
        <w:t xml:space="preserve">Nutr. 2015 Jun 14;113(11):1828-34. doi: 10.1017/S0007114515001063. </w:t>
      </w:r>
    </w:p>
    <w:p w14:paraId="35E2F5BA" w14:textId="77777777" w:rsidR="00880FB1" w:rsidRPr="00880FB1" w:rsidRDefault="00880FB1" w:rsidP="00880FB1">
      <w:pPr>
        <w:pStyle w:val="EndnoteText"/>
        <w:rPr>
          <w:color w:val="000000" w:themeColor="text1"/>
        </w:rPr>
      </w:pPr>
    </w:p>
  </w:endnote>
  <w:endnote w:id="38">
    <w:p w14:paraId="2ED58FC8" w14:textId="33BE0F2D" w:rsidR="00880FB1" w:rsidRPr="00880FB1"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R. Rosenheck (2008) Fast food consumption and increased caloric intake: a systematic review of a trajectory towards weight gain and obesity risk </w:t>
      </w:r>
      <w:r w:rsidRPr="00880FB1">
        <w:rPr>
          <w:color w:val="000000" w:themeColor="text1"/>
        </w:rPr>
        <w:t>Obes. Rev., 9 (2008), pp. 535-547, 10.1111/j.1467-789X.</w:t>
      </w:r>
      <w:r w:rsidRPr="00880FB1">
        <w:rPr>
          <w:color w:val="000000" w:themeColor="text1"/>
        </w:rPr>
        <w:t>2008.00477.xOBR477[pii]</w:t>
      </w:r>
    </w:p>
    <w:p w14:paraId="56B8E520" w14:textId="722B647C" w:rsidR="001D0086" w:rsidRDefault="001D0086" w:rsidP="00880FB1">
      <w:pPr>
        <w:pStyle w:val="EndnoteText"/>
        <w:rPr>
          <w:color w:val="000000" w:themeColor="text1"/>
        </w:rPr>
      </w:pPr>
      <w:r w:rsidRPr="00880FB1">
        <w:rPr>
          <w:color w:val="000000" w:themeColor="text1"/>
        </w:rPr>
        <w:t xml:space="preserve">Burgoine, T., Sarkar, C., Webster, C.J. et al. (2018) Examining the interaction of fast-food outlet exposure and income on diet and obesity: evidence from 51,361 UK Biobank participants. Int J Behav Nutr Phys Act 15, 71. </w:t>
      </w:r>
      <w:hyperlink r:id="rId27" w:history="1">
        <w:r w:rsidR="00880FB1" w:rsidRPr="00D65CBD">
          <w:rPr>
            <w:rStyle w:val="Hyperlink"/>
          </w:rPr>
          <w:t>https://doi.org/10.1186/s12966-018-0699-8</w:t>
        </w:r>
      </w:hyperlink>
    </w:p>
    <w:p w14:paraId="7C487F85" w14:textId="77777777" w:rsidR="00880FB1" w:rsidRPr="00880FB1" w:rsidRDefault="00880FB1" w:rsidP="00880FB1">
      <w:pPr>
        <w:pStyle w:val="EndnoteText"/>
        <w:rPr>
          <w:color w:val="000000" w:themeColor="text1"/>
        </w:rPr>
      </w:pPr>
    </w:p>
  </w:endnote>
  <w:endnote w:id="39">
    <w:p w14:paraId="0E3AEC7F" w14:textId="77777777" w:rsidR="001D0086" w:rsidRPr="00880FB1"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Caraher, M., Lloyd, S. and Madelin, T. (2014) ‘The “School Foodshed”: schools and fast-food outlets in a London borough’, British Food Journal, 116(3), pp. 472-493. </w:t>
      </w:r>
      <w:r w:rsidRPr="00880FB1">
        <w:rPr>
          <w:color w:val="000000" w:themeColor="text1"/>
        </w:rPr>
        <w:t>doi: 10.1108/BFJ-02-2012-0042</w:t>
      </w:r>
    </w:p>
    <w:p w14:paraId="058F7EE2" w14:textId="77777777" w:rsidR="001D0086" w:rsidRDefault="001D0086" w:rsidP="00880FB1">
      <w:pPr>
        <w:pStyle w:val="EndnoteText"/>
        <w:rPr>
          <w:color w:val="0070C0"/>
          <w:u w:val="single"/>
          <w:lang w:val="en-US"/>
        </w:rPr>
      </w:pPr>
      <w:r w:rsidRPr="00880FB1">
        <w:rPr>
          <w:color w:val="000000" w:themeColor="text1"/>
        </w:rPr>
        <w:t xml:space="preserve">Public Health England (PHE) (2014) Obesity and the environment: regulating the growth of </w:t>
      </w:r>
      <w:r w:rsidRPr="00880FB1">
        <w:rPr>
          <w:color w:val="000000" w:themeColor="text1"/>
        </w:rPr>
        <w:t>fast food outlets. Available at:</w:t>
      </w:r>
      <w:hyperlink r:id="rId28" w:history="1">
        <w:r w:rsidRPr="00880FB1">
          <w:rPr>
            <w:color w:val="0070C0"/>
            <w:u w:val="single"/>
            <w:lang w:val="en-US"/>
          </w:rPr>
          <w:t>https://assets.publishing.service.gov.uk/government/uploads/system/uploads/attachment_data/file/296248/Obesity_and_environment_March2014.pdf</w:t>
        </w:r>
      </w:hyperlink>
    </w:p>
    <w:p w14:paraId="0629D07E" w14:textId="77777777" w:rsidR="00880FB1" w:rsidRPr="00880FB1" w:rsidRDefault="00880FB1" w:rsidP="00880FB1">
      <w:pPr>
        <w:pStyle w:val="EndnoteText"/>
        <w:rPr>
          <w:color w:val="000000" w:themeColor="text1"/>
        </w:rPr>
      </w:pPr>
    </w:p>
  </w:endnote>
  <w:endnote w:id="40">
    <w:p w14:paraId="36997F8A" w14:textId="58FF06F9"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Patterson R., Risby A., Chan, M. (2012) ‘Consumption of takeaway and fast food in a deprived inner London Borough: are they associated with childhood obesity?’,</w:t>
      </w:r>
      <w:r w:rsidR="006C2CAF" w:rsidRPr="00880FB1">
        <w:rPr>
          <w:color w:val="000000" w:themeColor="text1"/>
        </w:rPr>
        <w:t xml:space="preserve"> </w:t>
      </w:r>
      <w:r w:rsidRPr="00880FB1">
        <w:rPr>
          <w:color w:val="000000" w:themeColor="text1"/>
        </w:rPr>
        <w:t xml:space="preserve">BMJ Open, </w:t>
      </w:r>
      <w:r w:rsidRPr="00880FB1">
        <w:rPr>
          <w:color w:val="000000" w:themeColor="text1"/>
        </w:rPr>
        <w:t>doi: 10.1136/bmjopen-2011-000402</w:t>
      </w:r>
    </w:p>
    <w:p w14:paraId="0B231926" w14:textId="77777777" w:rsidR="00880FB1" w:rsidRPr="00880FB1" w:rsidRDefault="00880FB1" w:rsidP="00880FB1">
      <w:pPr>
        <w:pStyle w:val="EndnoteText"/>
        <w:rPr>
          <w:color w:val="000000" w:themeColor="text1"/>
        </w:rPr>
      </w:pPr>
    </w:p>
  </w:endnote>
  <w:endnote w:id="41">
    <w:p w14:paraId="39BE9D7C"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w:t>
      </w:r>
      <w:r w:rsidRPr="00880FB1">
        <w:rPr>
          <w:color w:val="000000" w:themeColor="text1"/>
        </w:rPr>
        <w:t>Sandelson, M (2012) Tower Hamlets Food for Health Award project March 2009-March 2012. Tower Hamlets Public Health Directorate, London.</w:t>
      </w:r>
    </w:p>
    <w:p w14:paraId="7CC1D710" w14:textId="77777777" w:rsidR="00880FB1" w:rsidRPr="00880FB1" w:rsidRDefault="00880FB1" w:rsidP="00880FB1">
      <w:pPr>
        <w:pStyle w:val="EndnoteText"/>
        <w:rPr>
          <w:color w:val="000000" w:themeColor="text1"/>
        </w:rPr>
      </w:pPr>
    </w:p>
  </w:endnote>
  <w:endnote w:id="42">
    <w:p w14:paraId="60AC7B68" w14:textId="77777777" w:rsidR="001D0086" w:rsidRPr="00880FB1"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Burgoine, T., Monsivais, P., Sharp, S.J. et al. (2021) Independent and combined associations between fast-food outlet exposure and genetic risk for obesity: a population-based, cross-sectional study in the UK. BMC Med 19, 49. https://doi.org/10.1186/s12916-021-01902-z</w:t>
      </w:r>
    </w:p>
    <w:p w14:paraId="54072B0F" w14:textId="77777777" w:rsidR="001D0086" w:rsidRDefault="001D0086" w:rsidP="00880FB1">
      <w:pPr>
        <w:pStyle w:val="EndnoteText"/>
        <w:rPr>
          <w:color w:val="000000" w:themeColor="text1"/>
        </w:rPr>
      </w:pPr>
      <w:r w:rsidRPr="00880FB1">
        <w:rPr>
          <w:color w:val="000000" w:themeColor="text1"/>
        </w:rPr>
        <w:t xml:space="preserve">B. Swinburn, S. </w:t>
      </w:r>
      <w:r w:rsidRPr="00880FB1">
        <w:rPr>
          <w:color w:val="000000" w:themeColor="text1"/>
        </w:rPr>
        <w:t>Vandevijvere, V. Kraak, G. Sacks, W. Snowdon, C. Hawkes, S. Barquera, S. Friel, B. Kelly, S. Kumanyika, M. L’abbe, A. Lee, T. Lobstein, J. Ma, J. Macmullan, S. Mohan, C. Monteiro, B. Neal, M. Rayner, D. Sanders, C. Walker, Informas (2013) Monitoring and benchmarking government policies and actions to improve the healthiness of food environments: a proposed Government Healthy Food Environment. Policy Index Obes. Rev., 14 (2013), pp. 24-37, 10.1111/Obr.12073</w:t>
      </w:r>
    </w:p>
    <w:p w14:paraId="322F02C5" w14:textId="77777777" w:rsidR="00880FB1" w:rsidRPr="00880FB1" w:rsidRDefault="00880FB1" w:rsidP="00880FB1">
      <w:pPr>
        <w:pStyle w:val="EndnoteText"/>
        <w:rPr>
          <w:color w:val="000000" w:themeColor="text1"/>
        </w:rPr>
      </w:pPr>
    </w:p>
  </w:endnote>
  <w:endnote w:id="43">
    <w:p w14:paraId="320BB5F7"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Burgoine, N.G. </w:t>
      </w:r>
      <w:r w:rsidRPr="00880FB1">
        <w:rPr>
          <w:color w:val="000000" w:themeColor="text1"/>
        </w:rPr>
        <w:t xml:space="preserve">Forouhi, S.J. Griffin, N.J. </w:t>
      </w:r>
      <w:r w:rsidRPr="00880FB1">
        <w:rPr>
          <w:color w:val="000000" w:themeColor="text1"/>
        </w:rPr>
        <w:t>Wareham,P. Monsivais (2014) Associations between exposure to takeaway food outlets, takeaway food consumption, and body weight in Cambridgeshire, UK: population based, cross sectional study BMJ, p. 348, 10.1136/bmj.g1464</w:t>
      </w:r>
    </w:p>
    <w:p w14:paraId="5B067315" w14:textId="77777777" w:rsidR="00880FB1" w:rsidRPr="00880FB1" w:rsidRDefault="00880FB1" w:rsidP="00880FB1">
      <w:pPr>
        <w:pStyle w:val="EndnoteText"/>
        <w:rPr>
          <w:color w:val="000000" w:themeColor="text1"/>
        </w:rPr>
      </w:pPr>
    </w:p>
  </w:endnote>
  <w:endnote w:id="44">
    <w:p w14:paraId="0650A491"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Public Health England (2018) Fast food outlets: density by local authority in England. Available at: </w:t>
      </w:r>
      <w:hyperlink r:id="rId29" w:history="1">
        <w:r w:rsidRPr="00880FB1">
          <w:rPr>
            <w:color w:val="0070C0"/>
            <w:u w:val="single"/>
            <w:lang w:val="en-US"/>
          </w:rPr>
          <w:t>https://www.gov.uk/government/publications/fast-food-outlets-density-by-local-authority-in-england</w:t>
        </w:r>
      </w:hyperlink>
      <w:r w:rsidRPr="00880FB1">
        <w:rPr>
          <w:color w:val="000000" w:themeColor="text1"/>
        </w:rPr>
        <w:t xml:space="preserve"> </w:t>
      </w:r>
    </w:p>
    <w:p w14:paraId="5C462725" w14:textId="77777777" w:rsidR="00880FB1" w:rsidRPr="00880FB1" w:rsidRDefault="00880FB1" w:rsidP="00880FB1">
      <w:pPr>
        <w:pStyle w:val="EndnoteText"/>
        <w:rPr>
          <w:color w:val="000000" w:themeColor="text1"/>
        </w:rPr>
      </w:pPr>
    </w:p>
  </w:endnote>
  <w:endnote w:id="45">
    <w:p w14:paraId="5EC60E5D"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C. Black, G. Moon, J. Baird (2014) Dietary inequalities: what is the evidence for the effect of the neighbourhood food environment? Health Place, 27, pp. 229-242, 10.1016/j.healthplace.2013.09.015</w:t>
      </w:r>
    </w:p>
    <w:p w14:paraId="06A61DAA" w14:textId="77777777" w:rsidR="00880FB1" w:rsidRPr="00880FB1" w:rsidRDefault="00880FB1" w:rsidP="00880FB1">
      <w:pPr>
        <w:pStyle w:val="EndnoteText"/>
        <w:rPr>
          <w:color w:val="000000" w:themeColor="text1"/>
        </w:rPr>
      </w:pPr>
    </w:p>
  </w:endnote>
  <w:endnote w:id="46">
    <w:p w14:paraId="6F21EEC2" w14:textId="77777777" w:rsidR="001D0086" w:rsidRPr="00880FB1"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Caraher, M., Lloyd, S. and Madelin, T. (2014) ‘The “School Foodshed”: schools and fast-food outlets in a London </w:t>
      </w:r>
      <w:r w:rsidRPr="00880FB1">
        <w:rPr>
          <w:color w:val="000000" w:themeColor="text1"/>
        </w:rPr>
        <w:t>borougg’, British Food Journal, 116(3), pp. 472-493. doi: 10.1108/BFJ-02-2012-0042</w:t>
      </w:r>
    </w:p>
    <w:p w14:paraId="03D174AD" w14:textId="77777777" w:rsidR="001D0086" w:rsidRDefault="001D0086" w:rsidP="00880FB1">
      <w:pPr>
        <w:pStyle w:val="EndnoteText"/>
        <w:rPr>
          <w:color w:val="000000" w:themeColor="text1"/>
        </w:rPr>
      </w:pPr>
      <w:r w:rsidRPr="00880FB1">
        <w:rPr>
          <w:color w:val="000000" w:themeColor="text1"/>
        </w:rPr>
        <w:t>Jia P, Luo M, Li Y, Zheng JS, Xiao Q, Luo J. (2021) Fast-food restaurant, unhealthy eating, and childhood obesity: A systematic review and meta-analysis. Obes Rev. 2021 Feb;22 Suppl 1(Suppl 1</w:t>
      </w:r>
      <w:r w:rsidRPr="00880FB1">
        <w:rPr>
          <w:color w:val="000000" w:themeColor="text1"/>
        </w:rPr>
        <w:t>):e12944. doi: 10.1111/obr.12944.</w:t>
      </w:r>
    </w:p>
    <w:p w14:paraId="1F642565" w14:textId="77777777" w:rsidR="00880FB1" w:rsidRPr="00880FB1" w:rsidRDefault="00880FB1" w:rsidP="00880FB1">
      <w:pPr>
        <w:pStyle w:val="EndnoteText"/>
        <w:rPr>
          <w:color w:val="000000" w:themeColor="text1"/>
        </w:rPr>
      </w:pPr>
    </w:p>
  </w:endnote>
  <w:endnote w:id="47">
    <w:p w14:paraId="1575CF6A"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w:t>
      </w:r>
      <w:bookmarkStart w:id="2" w:name="_Hlk80262691"/>
      <w:r w:rsidRPr="00880FB1">
        <w:rPr>
          <w:color w:val="000000" w:themeColor="text1"/>
        </w:rPr>
        <w:t>Bagwell, S and Doff, S., (2009) Fast Food Outlets in Tower Hamlets and the Provision of Healthier Food Choices, London Metropolitan University</w:t>
      </w:r>
      <w:bookmarkEnd w:id="2"/>
    </w:p>
    <w:p w14:paraId="4AD9B543" w14:textId="77777777" w:rsidR="00880FB1" w:rsidRPr="00880FB1" w:rsidRDefault="00880FB1" w:rsidP="00880FB1">
      <w:pPr>
        <w:pStyle w:val="EndnoteText"/>
        <w:rPr>
          <w:color w:val="000000" w:themeColor="text1"/>
        </w:rPr>
      </w:pPr>
    </w:p>
  </w:endnote>
  <w:endnote w:id="48">
    <w:p w14:paraId="63A2E2AF"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NHS Tower Hamlets (2011) Tackling the takeaways: a new policy to address fast-food outlets in Tower Hamlets. Available at: </w:t>
      </w:r>
      <w:hyperlink r:id="rId30" w:history="1">
        <w:r w:rsidRPr="00880FB1">
          <w:rPr>
            <w:color w:val="0070C0"/>
            <w:u w:val="single"/>
            <w:lang w:val="en-US"/>
          </w:rPr>
          <w:t>https://www.healthyurbandevelopment.nhs.uk/wp-content/uploads/2013/12/Tackling-the-Takeways-A-New-Policy-to-Address-Fast-Food-Outlets-in-Tower-Hamlets-Sept-2011.pdf</w:t>
        </w:r>
      </w:hyperlink>
      <w:r w:rsidRPr="00880FB1">
        <w:rPr>
          <w:color w:val="000000" w:themeColor="text1"/>
        </w:rPr>
        <w:t xml:space="preserve">  </w:t>
      </w:r>
    </w:p>
    <w:p w14:paraId="609660DC" w14:textId="77777777" w:rsidR="00880FB1" w:rsidRPr="00880FB1" w:rsidRDefault="00880FB1" w:rsidP="00880FB1">
      <w:pPr>
        <w:pStyle w:val="EndnoteText"/>
        <w:rPr>
          <w:color w:val="000000" w:themeColor="text1"/>
        </w:rPr>
      </w:pPr>
    </w:p>
  </w:endnote>
  <w:endnote w:id="49">
    <w:p w14:paraId="7ADF30DB"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Royal Society for Public Heath (2019) Routing out childhood obesity. Available at: </w:t>
      </w:r>
      <w:hyperlink r:id="rId31" w:history="1">
        <w:r w:rsidRPr="00880FB1">
          <w:rPr>
            <w:color w:val="0070C0"/>
            <w:u w:val="single"/>
            <w:lang w:val="en-US"/>
          </w:rPr>
          <w:t>https://www.rsph.org.uk/static/uploaded/5194975e-89a1-4dff-9e8aa68da4836231.pdf</w:t>
        </w:r>
      </w:hyperlink>
      <w:r w:rsidRPr="00880FB1">
        <w:rPr>
          <w:color w:val="000000" w:themeColor="text1"/>
        </w:rPr>
        <w:t xml:space="preserve"> </w:t>
      </w:r>
    </w:p>
    <w:p w14:paraId="43A3AD8E" w14:textId="77777777" w:rsidR="00880FB1" w:rsidRPr="00880FB1" w:rsidRDefault="00880FB1" w:rsidP="00880FB1">
      <w:pPr>
        <w:pStyle w:val="EndnoteText"/>
        <w:rPr>
          <w:color w:val="000000" w:themeColor="text1"/>
        </w:rPr>
      </w:pPr>
    </w:p>
  </w:endnote>
  <w:endnote w:id="50">
    <w:p w14:paraId="5F62473B" w14:textId="77777777" w:rsidR="001D0086" w:rsidRPr="00880FB1"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Horsley JA, Absalom KA, </w:t>
      </w:r>
      <w:r w:rsidRPr="00880FB1">
        <w:rPr>
          <w:color w:val="000000" w:themeColor="text1"/>
        </w:rPr>
        <w:t>Akiens EM, Dunk RJ, Ferguson AM (2014) The proportion of unhealthy foodstuffs children are exposed to at the checkout of convenience supermarkets. Public Health Nutr. Nov;17(11):2453–8.</w:t>
      </w:r>
    </w:p>
    <w:p w14:paraId="58537E12" w14:textId="6CAF56AF" w:rsidR="001D0086" w:rsidRDefault="001D0086" w:rsidP="00880FB1">
      <w:pPr>
        <w:pStyle w:val="EndnoteText"/>
        <w:rPr>
          <w:color w:val="000000" w:themeColor="text1"/>
        </w:rPr>
      </w:pPr>
      <w:bookmarkStart w:id="3" w:name="_Hlk80261372"/>
      <w:r w:rsidRPr="00880FB1">
        <w:rPr>
          <w:color w:val="000000" w:themeColor="text1"/>
        </w:rPr>
        <w:t xml:space="preserve">Tyrrell RL, Greenhalgh F, Hodgson S, Wills WJ, Mathers JC, Adamson AJ, et al. (2016) Food environments of young people: linking individual behaviour to environmental context. J Public Health. Mar </w:t>
      </w:r>
      <w:r w:rsidRPr="00880FB1">
        <w:rPr>
          <w:color w:val="000000" w:themeColor="text1"/>
        </w:rPr>
        <w:t>8;fdw019.</w:t>
      </w:r>
      <w:bookmarkEnd w:id="3"/>
    </w:p>
    <w:p w14:paraId="0B042C06" w14:textId="77777777" w:rsidR="00880FB1" w:rsidRPr="00880FB1" w:rsidRDefault="00880FB1" w:rsidP="00880FB1">
      <w:pPr>
        <w:pStyle w:val="EndnoteText"/>
        <w:rPr>
          <w:color w:val="000000" w:themeColor="text1"/>
        </w:rPr>
      </w:pPr>
    </w:p>
  </w:endnote>
  <w:endnote w:id="51">
    <w:p w14:paraId="16185800" w14:textId="77777777" w:rsidR="001D0086" w:rsidRPr="00880FB1"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Wills W, </w:t>
      </w:r>
      <w:r w:rsidRPr="00880FB1">
        <w:rPr>
          <w:color w:val="000000" w:themeColor="text1"/>
        </w:rPr>
        <w:t>Kapetanaki A, Danesi G, Martin A, Hamilton L, Bygrave A. (2015) The influence of Deprivation and the Food Environment on Food and Drink Purchased by Secondary School Pupils Beyond the School Gate</w:t>
      </w:r>
    </w:p>
    <w:p w14:paraId="3EF4BB36" w14:textId="77777777" w:rsidR="001D0086" w:rsidRPr="00880FB1" w:rsidRDefault="001D0086" w:rsidP="00880FB1">
      <w:pPr>
        <w:pStyle w:val="EndnoteText"/>
        <w:rPr>
          <w:color w:val="000000" w:themeColor="text1"/>
        </w:rPr>
      </w:pPr>
      <w:r w:rsidRPr="00880FB1">
        <w:rPr>
          <w:color w:val="000000" w:themeColor="text1"/>
        </w:rPr>
        <w:t xml:space="preserve">Tyrrell RL, Greenhalgh F, Hodgson S, Wills WJ, Mathers JC, Adamson AJ, et al. (2016) Food environments of young people: linking individual behaviour to environmental context. J Public Health. Mar </w:t>
      </w:r>
      <w:r w:rsidRPr="00880FB1">
        <w:rPr>
          <w:color w:val="000000" w:themeColor="text1"/>
        </w:rPr>
        <w:t>8;fdw019.</w:t>
      </w:r>
    </w:p>
    <w:p w14:paraId="4DBEDDD5" w14:textId="77777777" w:rsidR="001D0086" w:rsidRDefault="001D0086" w:rsidP="00880FB1">
      <w:pPr>
        <w:pStyle w:val="EndnoteText"/>
        <w:rPr>
          <w:color w:val="000000" w:themeColor="text1"/>
        </w:rPr>
      </w:pPr>
      <w:r w:rsidRPr="00880FB1">
        <w:rPr>
          <w:color w:val="000000" w:themeColor="text1"/>
        </w:rPr>
        <w:t>Cowburn G, Matthews A, Doherty A, Hamilton A, Kelly P, Williams J, et al. (2016) Exploring the opportunities for food and drink purchasing and consumption by teenagers during their journeys between home and school: a feasibility study using a novel method. Public Health Nutr. Jan;19(1):93–103</w:t>
      </w:r>
    </w:p>
    <w:p w14:paraId="05D0BA34" w14:textId="77777777" w:rsidR="00880FB1" w:rsidRPr="00880FB1" w:rsidRDefault="00880FB1" w:rsidP="00880FB1">
      <w:pPr>
        <w:pStyle w:val="EndnoteText"/>
        <w:rPr>
          <w:color w:val="000000" w:themeColor="text1"/>
        </w:rPr>
      </w:pPr>
    </w:p>
  </w:endnote>
  <w:endnote w:id="52">
    <w:p w14:paraId="2E511EB4"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Sarah Sinclair and Jack Winkler (2009) The School Fringe: from Research to Action. Policy Options within Schools on the Fringe. Nutrition Policy Unit, London Metropolitan University</w:t>
      </w:r>
    </w:p>
    <w:p w14:paraId="6B8342AE" w14:textId="77777777" w:rsidR="00880FB1" w:rsidRPr="00880FB1" w:rsidRDefault="00880FB1" w:rsidP="00880FB1">
      <w:pPr>
        <w:pStyle w:val="EndnoteText"/>
        <w:rPr>
          <w:color w:val="000000" w:themeColor="text1"/>
        </w:rPr>
      </w:pPr>
    </w:p>
  </w:endnote>
  <w:endnote w:id="53">
    <w:p w14:paraId="7913AF90"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Zahra J, Ford T, Jodrell D. (2014) Cross-sectional survey of daily junk food consumption, irregular eating, mental and physical health and parenting style of British secondary school children. Child Care Health Dev. Jul;40(4):481–91.</w:t>
      </w:r>
    </w:p>
    <w:p w14:paraId="54FAAC7A" w14:textId="77777777" w:rsidR="00880FB1" w:rsidRPr="00880FB1" w:rsidRDefault="00880FB1" w:rsidP="00880FB1">
      <w:pPr>
        <w:pStyle w:val="EndnoteText"/>
        <w:rPr>
          <w:color w:val="000000" w:themeColor="text1"/>
        </w:rPr>
      </w:pPr>
    </w:p>
  </w:endnote>
  <w:endnote w:id="54">
    <w:p w14:paraId="354099C7" w14:textId="315DB3CD" w:rsidR="00880FB1" w:rsidRPr="00880FB1" w:rsidRDefault="001D0086" w:rsidP="00880FB1">
      <w:pPr>
        <w:spacing w:after="0"/>
        <w:rPr>
          <w:rFonts w:eastAsia="Arial"/>
          <w:color w:val="000000" w:themeColor="text1"/>
          <w:sz w:val="20"/>
          <w:szCs w:val="20"/>
          <w:lang w:val="en-US"/>
        </w:rPr>
      </w:pPr>
      <w:r w:rsidRPr="00880FB1">
        <w:rPr>
          <w:rStyle w:val="EndnoteReference"/>
          <w:color w:val="000000" w:themeColor="text1"/>
          <w:sz w:val="20"/>
          <w:szCs w:val="20"/>
        </w:rPr>
        <w:endnoteRef/>
      </w:r>
      <w:r w:rsidRPr="00880FB1">
        <w:rPr>
          <w:color w:val="000000" w:themeColor="text1"/>
          <w:sz w:val="20"/>
          <w:szCs w:val="20"/>
        </w:rPr>
        <w:t xml:space="preserve"> </w:t>
      </w:r>
      <w:r w:rsidRPr="00880FB1">
        <w:rPr>
          <w:rFonts w:eastAsia="Arial"/>
          <w:color w:val="000000" w:themeColor="text1"/>
          <w:sz w:val="20"/>
          <w:szCs w:val="20"/>
          <w:lang w:val="en-US"/>
        </w:rPr>
        <w:t xml:space="preserve">Wills W, </w:t>
      </w:r>
      <w:r w:rsidRPr="00880FB1">
        <w:rPr>
          <w:rFonts w:eastAsia="Arial"/>
          <w:color w:val="000000" w:themeColor="text1"/>
          <w:sz w:val="20"/>
          <w:szCs w:val="20"/>
          <w:lang w:val="en-US"/>
        </w:rPr>
        <w:t>Kapetanaki A, Danesi G, Martin A, Hamilton L, Bygrave A. (2015) The influence of Deprivation and the Food Environment on Food and Drink Purchased by Secondary School Pupils Beyond the School Gate</w:t>
      </w:r>
    </w:p>
    <w:p w14:paraId="3E9B2F61" w14:textId="77777777" w:rsidR="001D0086" w:rsidRPr="00880FB1" w:rsidRDefault="001D0086" w:rsidP="00880FB1">
      <w:pPr>
        <w:spacing w:after="0"/>
        <w:rPr>
          <w:rFonts w:eastAsia="Arial"/>
          <w:color w:val="000000" w:themeColor="text1"/>
          <w:sz w:val="20"/>
          <w:szCs w:val="20"/>
          <w:lang w:val="en-US"/>
        </w:rPr>
      </w:pPr>
      <w:r w:rsidRPr="00880FB1">
        <w:rPr>
          <w:rFonts w:eastAsia="Arial"/>
          <w:color w:val="000000" w:themeColor="text1"/>
          <w:sz w:val="20"/>
          <w:szCs w:val="20"/>
          <w:lang w:val="en-US"/>
        </w:rPr>
        <w:t>Cowburn G, Matthews A, Doherty A, Hamilton A, Kelly P, Williams J, et al. (2016) Exploring the opportunities for food and drink purchasing and consumption by teenagers during their journeys between home and school: a feasibility study using a novel method. Public Health Nutr. Jan;19(1):93–103</w:t>
      </w:r>
    </w:p>
    <w:p w14:paraId="62756778" w14:textId="77777777" w:rsidR="001D0086" w:rsidRDefault="001D0086" w:rsidP="00880FB1">
      <w:pPr>
        <w:pStyle w:val="EndnoteText"/>
        <w:rPr>
          <w:color w:val="000000" w:themeColor="text1"/>
        </w:rPr>
      </w:pPr>
      <w:r w:rsidRPr="00880FB1">
        <w:rPr>
          <w:color w:val="000000" w:themeColor="text1"/>
        </w:rPr>
        <w:t>Williams J, Scarborough P, Matthews A, Cowburn G, Foster C, Roberts N, et al. (2014) A systematic review of the influence of the retail food environment around schools on obesity-related outcomes. Obes Rev. May 1;15(5):359–74.</w:t>
      </w:r>
    </w:p>
    <w:p w14:paraId="774EA0F1" w14:textId="77777777" w:rsidR="00880FB1" w:rsidRPr="00880FB1" w:rsidRDefault="00880FB1" w:rsidP="00880FB1">
      <w:pPr>
        <w:pStyle w:val="EndnoteText"/>
        <w:rPr>
          <w:color w:val="000000" w:themeColor="text1"/>
        </w:rPr>
      </w:pPr>
    </w:p>
  </w:endnote>
  <w:endnote w:id="55">
    <w:p w14:paraId="4D0F3F29"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w:t>
      </w:r>
      <w:r w:rsidRPr="00880FB1">
        <w:rPr>
          <w:color w:val="000000" w:themeColor="text1"/>
        </w:rPr>
        <w:t>Turbutt C, Richardson J, Pettinger C. (2019) The impact of hot food takeaways near schools in the UK on childhood obesity: a systematic review of the evidence. J Public Health (Oxf). Jun 1;41(2):231-239. doi: 10.1093/pubmed/fdy048. PMID: 29590382.</w:t>
      </w:r>
    </w:p>
    <w:p w14:paraId="6AD64BD3" w14:textId="77777777" w:rsidR="00880FB1" w:rsidRPr="00880FB1" w:rsidRDefault="00880FB1" w:rsidP="00880FB1">
      <w:pPr>
        <w:pStyle w:val="EndnoteText"/>
        <w:rPr>
          <w:color w:val="000000" w:themeColor="text1"/>
        </w:rPr>
      </w:pPr>
    </w:p>
  </w:endnote>
  <w:endnote w:id="56">
    <w:p w14:paraId="5CF6D631"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Smith D, Cummins S, Clark C, </w:t>
      </w:r>
      <w:r w:rsidRPr="00880FB1">
        <w:rPr>
          <w:color w:val="000000" w:themeColor="text1"/>
        </w:rPr>
        <w:t xml:space="preserve">Stansfeld S. (2013) Does the local food environment around schools affect diet? Longitudinal associations in adolescents attending secondary schools in East London. BMC Public Health. </w:t>
      </w:r>
      <w:r w:rsidRPr="00880FB1">
        <w:rPr>
          <w:color w:val="000000" w:themeColor="text1"/>
        </w:rPr>
        <w:t>2013;13:70</w:t>
      </w:r>
    </w:p>
    <w:p w14:paraId="22609B62" w14:textId="77777777" w:rsidR="00880FB1" w:rsidRPr="00880FB1" w:rsidRDefault="00880FB1" w:rsidP="00880FB1">
      <w:pPr>
        <w:pStyle w:val="EndnoteText"/>
        <w:rPr>
          <w:color w:val="000000" w:themeColor="text1"/>
        </w:rPr>
      </w:pPr>
    </w:p>
  </w:endnote>
  <w:endnote w:id="57">
    <w:p w14:paraId="04840EE4"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Caraher, M., Lloyd, S. and Madelin, T. (2014) ‘The “School Foodshed”: schools and fast-food outlets in a London </w:t>
      </w:r>
      <w:r w:rsidRPr="00880FB1">
        <w:rPr>
          <w:color w:val="0070C0"/>
          <w:u w:val="single"/>
          <w:lang w:val="en-US"/>
        </w:rPr>
        <w:t>borougg’</w:t>
      </w:r>
      <w:r w:rsidRPr="00880FB1">
        <w:rPr>
          <w:color w:val="000000" w:themeColor="text1"/>
        </w:rPr>
        <w:t>, British Food Journal, 116(3), pp. 472-493. doi: 10.1108/BFJ-02-2012-0042</w:t>
      </w:r>
    </w:p>
    <w:p w14:paraId="7B8D08F5" w14:textId="77777777" w:rsidR="00880FB1" w:rsidRPr="00880FB1" w:rsidRDefault="00880FB1" w:rsidP="00880FB1">
      <w:pPr>
        <w:pStyle w:val="EndnoteText"/>
        <w:rPr>
          <w:color w:val="000000" w:themeColor="text1"/>
        </w:rPr>
      </w:pPr>
    </w:p>
  </w:endnote>
  <w:endnote w:id="58">
    <w:p w14:paraId="593BE252"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Bagwell, S and Doff, S., (2009) Fast Food Outlets in Tower Hamlets and the Provision of Healthier Food Choices, London Metropolitan University</w:t>
      </w:r>
    </w:p>
    <w:p w14:paraId="7647C21E" w14:textId="77777777" w:rsidR="00880FB1" w:rsidRPr="00880FB1" w:rsidRDefault="00880FB1" w:rsidP="00880FB1">
      <w:pPr>
        <w:pStyle w:val="EndnoteText"/>
        <w:rPr>
          <w:color w:val="000000" w:themeColor="text1"/>
        </w:rPr>
      </w:pPr>
    </w:p>
  </w:endnote>
  <w:endnote w:id="59">
    <w:p w14:paraId="6966450B" w14:textId="77777777" w:rsid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Caraher, M., Lloyd, S. and Madelin, T. (2014) ‘The “School Foodshed”: schools and fast-food outlets in a London </w:t>
      </w:r>
      <w:r w:rsidRPr="00880FB1">
        <w:rPr>
          <w:color w:val="000000" w:themeColor="text1"/>
        </w:rPr>
        <w:t>borougg’, British Food Journal, 116(3), pp. 472-493. doi: 10.1108/BFJ-02-2012-0042</w:t>
      </w:r>
    </w:p>
    <w:p w14:paraId="1F8C6F8F" w14:textId="77777777" w:rsidR="00880FB1" w:rsidRPr="00880FB1" w:rsidRDefault="00880FB1" w:rsidP="00880FB1">
      <w:pPr>
        <w:pStyle w:val="EndnoteText"/>
        <w:rPr>
          <w:color w:val="000000" w:themeColor="text1"/>
        </w:rPr>
      </w:pPr>
    </w:p>
  </w:endnote>
  <w:endnote w:id="60">
    <w:p w14:paraId="1373AE5C" w14:textId="77777777" w:rsidR="001D0086" w:rsidRPr="001D0086" w:rsidRDefault="001D0086" w:rsidP="00880FB1">
      <w:pPr>
        <w:pStyle w:val="EndnoteText"/>
        <w:rPr>
          <w:color w:val="000000" w:themeColor="text1"/>
        </w:rPr>
      </w:pPr>
      <w:r w:rsidRPr="00880FB1">
        <w:rPr>
          <w:rStyle w:val="EndnoteReference"/>
          <w:color w:val="000000" w:themeColor="text1"/>
        </w:rPr>
        <w:endnoteRef/>
      </w:r>
      <w:r w:rsidRPr="00880FB1">
        <w:rPr>
          <w:color w:val="000000" w:themeColor="text1"/>
        </w:rPr>
        <w:t xml:space="preserve"> Public Health England (2018) Healthy High Streets: good place making in an urban setting. Available at: </w:t>
      </w:r>
      <w:hyperlink r:id="rId32" w:history="1">
        <w:r w:rsidRPr="00880FB1">
          <w:rPr>
            <w:color w:val="0070C0"/>
            <w:u w:val="single"/>
            <w:lang w:val="en-US"/>
          </w:rPr>
          <w:t>https://www.gov.uk/government/publications/healthy-high-streets-good-place-making-in-an-urban-setting</w:t>
        </w:r>
      </w:hyperlink>
      <w:r w:rsidRPr="001D0086">
        <w:rPr>
          <w:color w:val="000000" w:themeColor="text1"/>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7BC7E" w14:textId="77777777" w:rsidR="00196051" w:rsidRDefault="00196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18EA5" w14:textId="77777777" w:rsidR="00196051" w:rsidRDefault="00196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7C616" w14:textId="77777777" w:rsidR="00196051" w:rsidRDefault="00196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E0DB0" w14:textId="77777777" w:rsidR="007967FB" w:rsidRDefault="007967FB" w:rsidP="00101F8B">
      <w:r>
        <w:separator/>
      </w:r>
    </w:p>
    <w:p w14:paraId="093FF494" w14:textId="77777777" w:rsidR="007967FB" w:rsidRDefault="007967FB" w:rsidP="00101F8B"/>
    <w:p w14:paraId="75968ADC" w14:textId="77777777" w:rsidR="007967FB" w:rsidRDefault="007967FB" w:rsidP="00101F8B"/>
    <w:p w14:paraId="2B5A037F" w14:textId="77777777" w:rsidR="007967FB" w:rsidRDefault="007967FB" w:rsidP="00101F8B"/>
    <w:p w14:paraId="3744F66E" w14:textId="77777777" w:rsidR="007967FB" w:rsidRDefault="007967FB" w:rsidP="00101F8B"/>
    <w:p w14:paraId="6BAEA4E3" w14:textId="77777777" w:rsidR="007967FB" w:rsidRDefault="007967FB" w:rsidP="00101F8B"/>
  </w:footnote>
  <w:footnote w:type="continuationSeparator" w:id="0">
    <w:p w14:paraId="4AF4C1AA" w14:textId="77777777" w:rsidR="007967FB" w:rsidRDefault="007967FB" w:rsidP="00101F8B">
      <w:r>
        <w:continuationSeparator/>
      </w:r>
    </w:p>
    <w:p w14:paraId="2AB66E20" w14:textId="77777777" w:rsidR="007967FB" w:rsidRDefault="007967FB" w:rsidP="00101F8B"/>
    <w:p w14:paraId="33AB9386" w14:textId="77777777" w:rsidR="007967FB" w:rsidRDefault="007967FB" w:rsidP="00101F8B"/>
    <w:p w14:paraId="5847439C" w14:textId="77777777" w:rsidR="007967FB" w:rsidRDefault="007967FB" w:rsidP="00101F8B"/>
    <w:p w14:paraId="40F99FE6" w14:textId="77777777" w:rsidR="007967FB" w:rsidRDefault="007967FB" w:rsidP="00101F8B"/>
    <w:p w14:paraId="4378076E" w14:textId="77777777" w:rsidR="007967FB" w:rsidRDefault="007967FB" w:rsidP="00101F8B"/>
  </w:footnote>
  <w:footnote w:type="continuationNotice" w:id="1">
    <w:p w14:paraId="20F09218" w14:textId="77777777" w:rsidR="007967FB" w:rsidRDefault="007967F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A0E06" w14:textId="3EB41A5A" w:rsidR="000438BB" w:rsidRDefault="00B96288">
    <w:pPr>
      <w:pStyle w:val="Header"/>
    </w:pPr>
    <w:r>
      <w:rPr>
        <w:noProof/>
      </w:rPr>
      <w:pict w14:anchorId="53C4C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54.5pt;height:181.8pt;rotation:315;z-index:-251658238;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19089" w14:textId="520C75B2" w:rsidR="000438BB" w:rsidRDefault="000438BB" w:rsidP="00101F8B">
    <w:pPr>
      <w:pStyle w:val="Header"/>
    </w:pPr>
    <w:r>
      <w:rPr>
        <w:noProof/>
      </w:rPr>
      <w:drawing>
        <wp:anchor distT="0" distB="0" distL="114300" distR="114300" simplePos="0" relativeHeight="251658240"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6F799" w14:textId="292D8F0C" w:rsidR="000438BB" w:rsidRDefault="00B96288">
    <w:pPr>
      <w:pStyle w:val="Header"/>
    </w:pPr>
    <w:r>
      <w:rPr>
        <w:noProof/>
      </w:rPr>
      <w:pict w14:anchorId="73C6B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54.5pt;height:181.8pt;rotation:315;z-index:-251658237;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D6ABA" w14:textId="107B52FD" w:rsidR="000438BB" w:rsidRDefault="00B96288">
    <w:pPr>
      <w:pStyle w:val="Header"/>
    </w:pPr>
    <w:r>
      <w:rPr>
        <w:noProof/>
      </w:rPr>
      <w:pict w14:anchorId="17ED9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454.5pt;height:181.8pt;rotation:315;z-index:-251658236;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60E80" w14:textId="29FE5C7A" w:rsidR="000438BB" w:rsidRDefault="000438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FDE95" w14:textId="1ADDAC6F" w:rsidR="000438BB" w:rsidRDefault="00B96288" w:rsidP="00101F8B">
    <w:pPr>
      <w:pStyle w:val="Header"/>
    </w:pPr>
    <w:r>
      <w:rPr>
        <w:noProof/>
      </w:rPr>
      <w:pict w14:anchorId="4CF2D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454.5pt;height:181.8pt;rotation:315;z-index:-251658239;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71A71"/>
    <w:multiLevelType w:val="hybridMultilevel"/>
    <w:tmpl w:val="084A55C2"/>
    <w:lvl w:ilvl="0" w:tplc="4A46D4F8">
      <w:start w:val="1"/>
      <w:numFmt w:val="bullet"/>
      <w:lvlText w:val="·"/>
      <w:lvlJc w:val="left"/>
      <w:pPr>
        <w:ind w:left="720" w:hanging="360"/>
      </w:pPr>
      <w:rPr>
        <w:rFonts w:ascii="Symbol" w:hAnsi="Symbol" w:hint="default"/>
      </w:rPr>
    </w:lvl>
    <w:lvl w:ilvl="1" w:tplc="B27829F2">
      <w:start w:val="1"/>
      <w:numFmt w:val="bullet"/>
      <w:lvlText w:val="o"/>
      <w:lvlJc w:val="left"/>
      <w:pPr>
        <w:ind w:left="1440" w:hanging="360"/>
      </w:pPr>
      <w:rPr>
        <w:rFonts w:ascii="Courier New" w:hAnsi="Courier New" w:hint="default"/>
      </w:rPr>
    </w:lvl>
    <w:lvl w:ilvl="2" w:tplc="AA3A10E0">
      <w:start w:val="1"/>
      <w:numFmt w:val="bullet"/>
      <w:lvlText w:val=""/>
      <w:lvlJc w:val="left"/>
      <w:pPr>
        <w:ind w:left="2160" w:hanging="360"/>
      </w:pPr>
      <w:rPr>
        <w:rFonts w:ascii="Wingdings" w:hAnsi="Wingdings" w:hint="default"/>
      </w:rPr>
    </w:lvl>
    <w:lvl w:ilvl="3" w:tplc="D0DC1ADC">
      <w:start w:val="1"/>
      <w:numFmt w:val="bullet"/>
      <w:lvlText w:val=""/>
      <w:lvlJc w:val="left"/>
      <w:pPr>
        <w:ind w:left="2880" w:hanging="360"/>
      </w:pPr>
      <w:rPr>
        <w:rFonts w:ascii="Symbol" w:hAnsi="Symbol" w:hint="default"/>
      </w:rPr>
    </w:lvl>
    <w:lvl w:ilvl="4" w:tplc="C39A858C">
      <w:start w:val="1"/>
      <w:numFmt w:val="bullet"/>
      <w:lvlText w:val="o"/>
      <w:lvlJc w:val="left"/>
      <w:pPr>
        <w:ind w:left="3600" w:hanging="360"/>
      </w:pPr>
      <w:rPr>
        <w:rFonts w:ascii="Courier New" w:hAnsi="Courier New" w:hint="default"/>
      </w:rPr>
    </w:lvl>
    <w:lvl w:ilvl="5" w:tplc="E5406BB4">
      <w:start w:val="1"/>
      <w:numFmt w:val="bullet"/>
      <w:lvlText w:val=""/>
      <w:lvlJc w:val="left"/>
      <w:pPr>
        <w:ind w:left="4320" w:hanging="360"/>
      </w:pPr>
      <w:rPr>
        <w:rFonts w:ascii="Wingdings" w:hAnsi="Wingdings" w:hint="default"/>
      </w:rPr>
    </w:lvl>
    <w:lvl w:ilvl="6" w:tplc="765285DC">
      <w:start w:val="1"/>
      <w:numFmt w:val="bullet"/>
      <w:lvlText w:val=""/>
      <w:lvlJc w:val="left"/>
      <w:pPr>
        <w:ind w:left="5040" w:hanging="360"/>
      </w:pPr>
      <w:rPr>
        <w:rFonts w:ascii="Symbol" w:hAnsi="Symbol" w:hint="default"/>
      </w:rPr>
    </w:lvl>
    <w:lvl w:ilvl="7" w:tplc="B77A5B4C">
      <w:start w:val="1"/>
      <w:numFmt w:val="bullet"/>
      <w:lvlText w:val="o"/>
      <w:lvlJc w:val="left"/>
      <w:pPr>
        <w:ind w:left="5760" w:hanging="360"/>
      </w:pPr>
      <w:rPr>
        <w:rFonts w:ascii="Courier New" w:hAnsi="Courier New" w:hint="default"/>
      </w:rPr>
    </w:lvl>
    <w:lvl w:ilvl="8" w:tplc="D83037CC">
      <w:start w:val="1"/>
      <w:numFmt w:val="bullet"/>
      <w:lvlText w:val=""/>
      <w:lvlJc w:val="left"/>
      <w:pPr>
        <w:ind w:left="6480" w:hanging="360"/>
      </w:pPr>
      <w:rPr>
        <w:rFonts w:ascii="Wingdings" w:hAnsi="Wingdings" w:hint="default"/>
      </w:rPr>
    </w:lvl>
  </w:abstractNum>
  <w:abstractNum w:abstractNumId="1" w15:restartNumberingAfterBreak="0">
    <w:nsid w:val="0F585F2D"/>
    <w:multiLevelType w:val="hybridMultilevel"/>
    <w:tmpl w:val="D31A300A"/>
    <w:lvl w:ilvl="0" w:tplc="D3A875B0">
      <w:numFmt w:val="bullet"/>
      <w:lvlText w:val=""/>
      <w:lvlJc w:val="left"/>
      <w:pPr>
        <w:ind w:left="360" w:hanging="360"/>
      </w:pPr>
      <w:rPr>
        <w:rFonts w:ascii="Symbol" w:eastAsia="Symbol" w:hAnsi="Symbol" w:cs="Symbol" w:hint="default"/>
        <w:b w:val="0"/>
        <w:bCs w:val="0"/>
        <w:i w:val="0"/>
        <w:iCs w:val="0"/>
        <w:w w:val="100"/>
        <w:sz w:val="22"/>
        <w:szCs w:val="22"/>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1AD22798"/>
    <w:multiLevelType w:val="multilevel"/>
    <w:tmpl w:val="3B823C9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785817"/>
    <w:multiLevelType w:val="hybridMultilevel"/>
    <w:tmpl w:val="954268B0"/>
    <w:lvl w:ilvl="0" w:tplc="B50896EE">
      <w:start w:val="11"/>
      <w:numFmt w:val="decimal"/>
      <w:lvlText w:val="%1"/>
      <w:lvlJc w:val="left"/>
      <w:pPr>
        <w:ind w:left="235" w:hanging="190"/>
      </w:pPr>
      <w:rPr>
        <w:rFonts w:hint="default"/>
        <w:spacing w:val="-1"/>
        <w:w w:val="99"/>
        <w:position w:val="10"/>
      </w:rPr>
    </w:lvl>
    <w:lvl w:ilvl="1" w:tplc="D3A875B0">
      <w:numFmt w:val="bullet"/>
      <w:lvlText w:val=""/>
      <w:lvlJc w:val="left"/>
      <w:pPr>
        <w:ind w:left="1069" w:hanging="360"/>
      </w:pPr>
      <w:rPr>
        <w:rFonts w:ascii="Symbol" w:eastAsia="Symbol" w:hAnsi="Symbol" w:cs="Symbol" w:hint="default"/>
        <w:b w:val="0"/>
        <w:bCs w:val="0"/>
        <w:i w:val="0"/>
        <w:iCs w:val="0"/>
        <w:w w:val="100"/>
        <w:sz w:val="22"/>
        <w:szCs w:val="22"/>
      </w:rPr>
    </w:lvl>
    <w:lvl w:ilvl="2" w:tplc="584A612C">
      <w:numFmt w:val="bullet"/>
      <w:lvlText w:val="o"/>
      <w:lvlJc w:val="left"/>
      <w:pPr>
        <w:ind w:left="1735" w:hanging="423"/>
      </w:pPr>
      <w:rPr>
        <w:rFonts w:ascii="Courier New" w:eastAsia="Courier New" w:hAnsi="Courier New" w:cs="Courier New" w:hint="default"/>
        <w:b w:val="0"/>
        <w:bCs w:val="0"/>
        <w:i w:val="0"/>
        <w:iCs w:val="0"/>
        <w:w w:val="100"/>
        <w:sz w:val="22"/>
        <w:szCs w:val="22"/>
      </w:rPr>
    </w:lvl>
    <w:lvl w:ilvl="3" w:tplc="5EC40EDE">
      <w:numFmt w:val="bullet"/>
      <w:lvlText w:val="•"/>
      <w:lvlJc w:val="left"/>
      <w:pPr>
        <w:ind w:left="1740" w:hanging="423"/>
      </w:pPr>
      <w:rPr>
        <w:rFonts w:hint="default"/>
      </w:rPr>
    </w:lvl>
    <w:lvl w:ilvl="4" w:tplc="DB54B6D8">
      <w:numFmt w:val="bullet"/>
      <w:lvlText w:val="•"/>
      <w:lvlJc w:val="left"/>
      <w:pPr>
        <w:ind w:left="2920" w:hanging="423"/>
      </w:pPr>
      <w:rPr>
        <w:rFonts w:hint="default"/>
      </w:rPr>
    </w:lvl>
    <w:lvl w:ilvl="5" w:tplc="18F0EDF4">
      <w:numFmt w:val="bullet"/>
      <w:lvlText w:val="•"/>
      <w:lvlJc w:val="left"/>
      <w:pPr>
        <w:ind w:left="4100" w:hanging="423"/>
      </w:pPr>
      <w:rPr>
        <w:rFonts w:hint="default"/>
      </w:rPr>
    </w:lvl>
    <w:lvl w:ilvl="6" w:tplc="4F140390">
      <w:numFmt w:val="bullet"/>
      <w:lvlText w:val="•"/>
      <w:lvlJc w:val="left"/>
      <w:pPr>
        <w:ind w:left="5280" w:hanging="423"/>
      </w:pPr>
      <w:rPr>
        <w:rFonts w:hint="default"/>
      </w:rPr>
    </w:lvl>
    <w:lvl w:ilvl="7" w:tplc="FBA6D204">
      <w:numFmt w:val="bullet"/>
      <w:lvlText w:val="•"/>
      <w:lvlJc w:val="left"/>
      <w:pPr>
        <w:ind w:left="6460" w:hanging="423"/>
      </w:pPr>
      <w:rPr>
        <w:rFonts w:hint="default"/>
      </w:rPr>
    </w:lvl>
    <w:lvl w:ilvl="8" w:tplc="7444D38E">
      <w:numFmt w:val="bullet"/>
      <w:lvlText w:val="•"/>
      <w:lvlJc w:val="left"/>
      <w:pPr>
        <w:ind w:left="7640" w:hanging="423"/>
      </w:pPr>
      <w:rPr>
        <w:rFonts w:hint="default"/>
      </w:rPr>
    </w:lvl>
  </w:abstractNum>
  <w:abstractNum w:abstractNumId="4" w15:restartNumberingAfterBreak="0">
    <w:nsid w:val="34915EC2"/>
    <w:multiLevelType w:val="hybridMultilevel"/>
    <w:tmpl w:val="0B5A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6F27B5"/>
    <w:multiLevelType w:val="hybridMultilevel"/>
    <w:tmpl w:val="F9EA07E2"/>
    <w:lvl w:ilvl="0" w:tplc="D3AC0D5E">
      <w:numFmt w:val="bullet"/>
      <w:lvlText w:val=""/>
      <w:lvlJc w:val="left"/>
      <w:pPr>
        <w:ind w:left="952" w:hanging="360"/>
      </w:pPr>
      <w:rPr>
        <w:rFonts w:ascii="Symbol" w:eastAsia="Symbol" w:hAnsi="Symbol" w:cs="Symbol" w:hint="default"/>
        <w:b w:val="0"/>
        <w:bCs w:val="0"/>
        <w:i w:val="0"/>
        <w:iCs w:val="0"/>
        <w:w w:val="100"/>
        <w:sz w:val="22"/>
        <w:szCs w:val="22"/>
      </w:rPr>
    </w:lvl>
    <w:lvl w:ilvl="1" w:tplc="4E06C884">
      <w:numFmt w:val="bullet"/>
      <w:lvlText w:val="•"/>
      <w:lvlJc w:val="left"/>
      <w:pPr>
        <w:ind w:left="1864" w:hanging="360"/>
      </w:pPr>
      <w:rPr>
        <w:rFonts w:hint="default"/>
      </w:rPr>
    </w:lvl>
    <w:lvl w:ilvl="2" w:tplc="07FCBE12">
      <w:numFmt w:val="bullet"/>
      <w:lvlText w:val="•"/>
      <w:lvlJc w:val="left"/>
      <w:pPr>
        <w:ind w:left="2768" w:hanging="360"/>
      </w:pPr>
      <w:rPr>
        <w:rFonts w:hint="default"/>
      </w:rPr>
    </w:lvl>
    <w:lvl w:ilvl="3" w:tplc="390A90FC">
      <w:numFmt w:val="bullet"/>
      <w:lvlText w:val="•"/>
      <w:lvlJc w:val="left"/>
      <w:pPr>
        <w:ind w:left="3672" w:hanging="360"/>
      </w:pPr>
      <w:rPr>
        <w:rFonts w:hint="default"/>
      </w:rPr>
    </w:lvl>
    <w:lvl w:ilvl="4" w:tplc="8AC65490">
      <w:numFmt w:val="bullet"/>
      <w:lvlText w:val="•"/>
      <w:lvlJc w:val="left"/>
      <w:pPr>
        <w:ind w:left="4576" w:hanging="360"/>
      </w:pPr>
      <w:rPr>
        <w:rFonts w:hint="default"/>
      </w:rPr>
    </w:lvl>
    <w:lvl w:ilvl="5" w:tplc="6D6E6FEA">
      <w:numFmt w:val="bullet"/>
      <w:lvlText w:val="•"/>
      <w:lvlJc w:val="left"/>
      <w:pPr>
        <w:ind w:left="5480" w:hanging="360"/>
      </w:pPr>
      <w:rPr>
        <w:rFonts w:hint="default"/>
      </w:rPr>
    </w:lvl>
    <w:lvl w:ilvl="6" w:tplc="D9F65DF6">
      <w:numFmt w:val="bullet"/>
      <w:lvlText w:val="•"/>
      <w:lvlJc w:val="left"/>
      <w:pPr>
        <w:ind w:left="6384" w:hanging="360"/>
      </w:pPr>
      <w:rPr>
        <w:rFonts w:hint="default"/>
      </w:rPr>
    </w:lvl>
    <w:lvl w:ilvl="7" w:tplc="FBEC2596">
      <w:numFmt w:val="bullet"/>
      <w:lvlText w:val="•"/>
      <w:lvlJc w:val="left"/>
      <w:pPr>
        <w:ind w:left="7288" w:hanging="360"/>
      </w:pPr>
      <w:rPr>
        <w:rFonts w:hint="default"/>
      </w:rPr>
    </w:lvl>
    <w:lvl w:ilvl="8" w:tplc="70EEF9E0">
      <w:numFmt w:val="bullet"/>
      <w:lvlText w:val="•"/>
      <w:lvlJc w:val="left"/>
      <w:pPr>
        <w:ind w:left="8192" w:hanging="360"/>
      </w:pPr>
      <w:rPr>
        <w:rFonts w:hint="default"/>
      </w:rPr>
    </w:lvl>
  </w:abstractNum>
  <w:abstractNum w:abstractNumId="6" w15:restartNumberingAfterBreak="0">
    <w:nsid w:val="48065A62"/>
    <w:multiLevelType w:val="hybridMultilevel"/>
    <w:tmpl w:val="D550D5DE"/>
    <w:lvl w:ilvl="0" w:tplc="314C7E2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89D3778"/>
    <w:multiLevelType w:val="hybridMultilevel"/>
    <w:tmpl w:val="6EFC13F4"/>
    <w:lvl w:ilvl="0" w:tplc="E7765EFA">
      <w:start w:val="1"/>
      <w:numFmt w:val="bullet"/>
      <w:lvlText w:val="·"/>
      <w:lvlJc w:val="left"/>
      <w:pPr>
        <w:ind w:left="360" w:hanging="360"/>
      </w:pPr>
      <w:rPr>
        <w:rFonts w:ascii="Symbol" w:hAnsi="Symbol" w:hint="default"/>
      </w:rPr>
    </w:lvl>
    <w:lvl w:ilvl="1" w:tplc="024A1694">
      <w:start w:val="1"/>
      <w:numFmt w:val="bullet"/>
      <w:lvlText w:val="o"/>
      <w:lvlJc w:val="left"/>
      <w:pPr>
        <w:ind w:left="1080" w:hanging="360"/>
      </w:pPr>
      <w:rPr>
        <w:rFonts w:ascii="Courier New" w:hAnsi="Courier New" w:hint="default"/>
      </w:rPr>
    </w:lvl>
    <w:lvl w:ilvl="2" w:tplc="B29A341A">
      <w:start w:val="1"/>
      <w:numFmt w:val="bullet"/>
      <w:lvlText w:val=""/>
      <w:lvlJc w:val="left"/>
      <w:pPr>
        <w:ind w:left="1800" w:hanging="360"/>
      </w:pPr>
      <w:rPr>
        <w:rFonts w:ascii="Wingdings" w:hAnsi="Wingdings" w:hint="default"/>
      </w:rPr>
    </w:lvl>
    <w:lvl w:ilvl="3" w:tplc="4EA8E600">
      <w:start w:val="1"/>
      <w:numFmt w:val="bullet"/>
      <w:lvlText w:val=""/>
      <w:lvlJc w:val="left"/>
      <w:pPr>
        <w:ind w:left="2520" w:hanging="360"/>
      </w:pPr>
      <w:rPr>
        <w:rFonts w:ascii="Symbol" w:hAnsi="Symbol" w:hint="default"/>
      </w:rPr>
    </w:lvl>
    <w:lvl w:ilvl="4" w:tplc="4E2EB336">
      <w:start w:val="1"/>
      <w:numFmt w:val="bullet"/>
      <w:lvlText w:val="o"/>
      <w:lvlJc w:val="left"/>
      <w:pPr>
        <w:ind w:left="3240" w:hanging="360"/>
      </w:pPr>
      <w:rPr>
        <w:rFonts w:ascii="Courier New" w:hAnsi="Courier New" w:hint="default"/>
      </w:rPr>
    </w:lvl>
    <w:lvl w:ilvl="5" w:tplc="B4D6E2CC">
      <w:start w:val="1"/>
      <w:numFmt w:val="bullet"/>
      <w:lvlText w:val=""/>
      <w:lvlJc w:val="left"/>
      <w:pPr>
        <w:ind w:left="3960" w:hanging="360"/>
      </w:pPr>
      <w:rPr>
        <w:rFonts w:ascii="Wingdings" w:hAnsi="Wingdings" w:hint="default"/>
      </w:rPr>
    </w:lvl>
    <w:lvl w:ilvl="6" w:tplc="5B84321A">
      <w:start w:val="1"/>
      <w:numFmt w:val="bullet"/>
      <w:lvlText w:val=""/>
      <w:lvlJc w:val="left"/>
      <w:pPr>
        <w:ind w:left="4680" w:hanging="360"/>
      </w:pPr>
      <w:rPr>
        <w:rFonts w:ascii="Symbol" w:hAnsi="Symbol" w:hint="default"/>
      </w:rPr>
    </w:lvl>
    <w:lvl w:ilvl="7" w:tplc="9BDCC9D6">
      <w:start w:val="1"/>
      <w:numFmt w:val="bullet"/>
      <w:lvlText w:val="o"/>
      <w:lvlJc w:val="left"/>
      <w:pPr>
        <w:ind w:left="5400" w:hanging="360"/>
      </w:pPr>
      <w:rPr>
        <w:rFonts w:ascii="Courier New" w:hAnsi="Courier New" w:hint="default"/>
      </w:rPr>
    </w:lvl>
    <w:lvl w:ilvl="8" w:tplc="D04C96A0">
      <w:start w:val="1"/>
      <w:numFmt w:val="bullet"/>
      <w:lvlText w:val=""/>
      <w:lvlJc w:val="left"/>
      <w:pPr>
        <w:ind w:left="6120" w:hanging="360"/>
      </w:pPr>
      <w:rPr>
        <w:rFonts w:ascii="Wingdings" w:hAnsi="Wingdings" w:hint="default"/>
      </w:rPr>
    </w:lvl>
  </w:abstractNum>
  <w:abstractNum w:abstractNumId="8" w15:restartNumberingAfterBreak="0">
    <w:nsid w:val="5D9559CF"/>
    <w:multiLevelType w:val="hybridMultilevel"/>
    <w:tmpl w:val="4C6AE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CC0822"/>
    <w:multiLevelType w:val="hybridMultilevel"/>
    <w:tmpl w:val="7DD000A0"/>
    <w:lvl w:ilvl="0" w:tplc="661E0BF2">
      <w:start w:val="1"/>
      <w:numFmt w:val="lowerLetter"/>
      <w:lvlText w:val="%1."/>
      <w:lvlJc w:val="left"/>
      <w:pPr>
        <w:ind w:left="360" w:hanging="360"/>
      </w:pPr>
      <w:rPr>
        <w:rFonts w:ascii="Arial" w:eastAsia="Arial" w:hAnsi="Arial" w:cs="Arial" w:hint="default"/>
        <w:b w:val="0"/>
        <w:bCs w:val="0"/>
        <w:i/>
        <w:iCs/>
        <w:spacing w:val="-1"/>
        <w:w w:val="100"/>
        <w:sz w:val="22"/>
        <w:szCs w:val="22"/>
      </w:rPr>
    </w:lvl>
    <w:lvl w:ilvl="1" w:tplc="AD44BC7C">
      <w:numFmt w:val="bullet"/>
      <w:lvlText w:val="•"/>
      <w:lvlJc w:val="left"/>
      <w:pPr>
        <w:ind w:left="1200" w:hanging="360"/>
      </w:pPr>
      <w:rPr>
        <w:rFonts w:hint="default"/>
      </w:rPr>
    </w:lvl>
    <w:lvl w:ilvl="2" w:tplc="9B964A56">
      <w:numFmt w:val="bullet"/>
      <w:lvlText w:val="•"/>
      <w:lvlJc w:val="left"/>
      <w:pPr>
        <w:ind w:left="2032" w:hanging="360"/>
      </w:pPr>
      <w:rPr>
        <w:rFonts w:hint="default"/>
      </w:rPr>
    </w:lvl>
    <w:lvl w:ilvl="3" w:tplc="46D247F2">
      <w:numFmt w:val="bullet"/>
      <w:lvlText w:val="•"/>
      <w:lvlJc w:val="left"/>
      <w:pPr>
        <w:ind w:left="2864" w:hanging="360"/>
      </w:pPr>
      <w:rPr>
        <w:rFonts w:hint="default"/>
      </w:rPr>
    </w:lvl>
    <w:lvl w:ilvl="4" w:tplc="7834E892">
      <w:numFmt w:val="bullet"/>
      <w:lvlText w:val="•"/>
      <w:lvlJc w:val="left"/>
      <w:pPr>
        <w:ind w:left="3696" w:hanging="360"/>
      </w:pPr>
      <w:rPr>
        <w:rFonts w:hint="default"/>
      </w:rPr>
    </w:lvl>
    <w:lvl w:ilvl="5" w:tplc="E392F930">
      <w:numFmt w:val="bullet"/>
      <w:lvlText w:val="•"/>
      <w:lvlJc w:val="left"/>
      <w:pPr>
        <w:ind w:left="4528" w:hanging="360"/>
      </w:pPr>
      <w:rPr>
        <w:rFonts w:hint="default"/>
      </w:rPr>
    </w:lvl>
    <w:lvl w:ilvl="6" w:tplc="3B2428A6">
      <w:numFmt w:val="bullet"/>
      <w:lvlText w:val="•"/>
      <w:lvlJc w:val="left"/>
      <w:pPr>
        <w:ind w:left="5360" w:hanging="360"/>
      </w:pPr>
      <w:rPr>
        <w:rFonts w:hint="default"/>
      </w:rPr>
    </w:lvl>
    <w:lvl w:ilvl="7" w:tplc="DFA42D9E">
      <w:numFmt w:val="bullet"/>
      <w:lvlText w:val="•"/>
      <w:lvlJc w:val="left"/>
      <w:pPr>
        <w:ind w:left="6192" w:hanging="360"/>
      </w:pPr>
      <w:rPr>
        <w:rFonts w:hint="default"/>
      </w:rPr>
    </w:lvl>
    <w:lvl w:ilvl="8" w:tplc="6292F2DE">
      <w:numFmt w:val="bullet"/>
      <w:lvlText w:val="•"/>
      <w:lvlJc w:val="left"/>
      <w:pPr>
        <w:ind w:left="7024" w:hanging="360"/>
      </w:pPr>
      <w:rPr>
        <w:rFonts w:hint="default"/>
      </w:rPr>
    </w:lvl>
  </w:abstractNum>
  <w:abstractNum w:abstractNumId="10" w15:restartNumberingAfterBreak="0">
    <w:nsid w:val="6773698C"/>
    <w:multiLevelType w:val="hybridMultilevel"/>
    <w:tmpl w:val="2C2C1DC8"/>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9FF28F3"/>
    <w:multiLevelType w:val="hybridMultilevel"/>
    <w:tmpl w:val="63589460"/>
    <w:lvl w:ilvl="0" w:tplc="D3A875B0">
      <w:numFmt w:val="bullet"/>
      <w:lvlText w:val=""/>
      <w:lvlJc w:val="left"/>
      <w:pPr>
        <w:ind w:left="360" w:hanging="360"/>
      </w:pPr>
      <w:rPr>
        <w:rFonts w:ascii="Symbol" w:eastAsia="Symbol" w:hAnsi="Symbol" w:cs="Symbol" w:hint="default"/>
        <w:b w:val="0"/>
        <w:bCs w:val="0"/>
        <w:i w:val="0"/>
        <w:iCs w:val="0"/>
        <w:w w:val="100"/>
        <w:sz w:val="22"/>
        <w:szCs w:val="22"/>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2" w15:restartNumberingAfterBreak="0">
    <w:nsid w:val="76531100"/>
    <w:multiLevelType w:val="hybridMultilevel"/>
    <w:tmpl w:val="A67E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8503DB"/>
    <w:multiLevelType w:val="hybridMultilevel"/>
    <w:tmpl w:val="4EDE17E8"/>
    <w:lvl w:ilvl="0" w:tplc="9B1E6804">
      <w:start w:val="1"/>
      <w:numFmt w:val="bullet"/>
      <w:lvlText w:val="·"/>
      <w:lvlJc w:val="left"/>
      <w:pPr>
        <w:ind w:left="720" w:hanging="360"/>
      </w:pPr>
      <w:rPr>
        <w:rFonts w:ascii="Symbol" w:hAnsi="Symbol" w:hint="default"/>
      </w:rPr>
    </w:lvl>
    <w:lvl w:ilvl="1" w:tplc="DAF6A79E">
      <w:start w:val="1"/>
      <w:numFmt w:val="bullet"/>
      <w:lvlText w:val="o"/>
      <w:lvlJc w:val="left"/>
      <w:pPr>
        <w:ind w:left="1440" w:hanging="360"/>
      </w:pPr>
      <w:rPr>
        <w:rFonts w:ascii="Courier New" w:hAnsi="Courier New" w:hint="default"/>
      </w:rPr>
    </w:lvl>
    <w:lvl w:ilvl="2" w:tplc="DC8A3440">
      <w:start w:val="1"/>
      <w:numFmt w:val="bullet"/>
      <w:lvlText w:val=""/>
      <w:lvlJc w:val="left"/>
      <w:pPr>
        <w:ind w:left="2160" w:hanging="360"/>
      </w:pPr>
      <w:rPr>
        <w:rFonts w:ascii="Wingdings" w:hAnsi="Wingdings" w:hint="default"/>
      </w:rPr>
    </w:lvl>
    <w:lvl w:ilvl="3" w:tplc="CFB4CB18">
      <w:start w:val="1"/>
      <w:numFmt w:val="bullet"/>
      <w:lvlText w:val=""/>
      <w:lvlJc w:val="left"/>
      <w:pPr>
        <w:ind w:left="2880" w:hanging="360"/>
      </w:pPr>
      <w:rPr>
        <w:rFonts w:ascii="Symbol" w:hAnsi="Symbol" w:hint="default"/>
      </w:rPr>
    </w:lvl>
    <w:lvl w:ilvl="4" w:tplc="EF16B108">
      <w:start w:val="1"/>
      <w:numFmt w:val="bullet"/>
      <w:lvlText w:val="o"/>
      <w:lvlJc w:val="left"/>
      <w:pPr>
        <w:ind w:left="3600" w:hanging="360"/>
      </w:pPr>
      <w:rPr>
        <w:rFonts w:ascii="Courier New" w:hAnsi="Courier New" w:hint="default"/>
      </w:rPr>
    </w:lvl>
    <w:lvl w:ilvl="5" w:tplc="0E74F9D2">
      <w:start w:val="1"/>
      <w:numFmt w:val="bullet"/>
      <w:lvlText w:val=""/>
      <w:lvlJc w:val="left"/>
      <w:pPr>
        <w:ind w:left="4320" w:hanging="360"/>
      </w:pPr>
      <w:rPr>
        <w:rFonts w:ascii="Wingdings" w:hAnsi="Wingdings" w:hint="default"/>
      </w:rPr>
    </w:lvl>
    <w:lvl w:ilvl="6" w:tplc="B6A6B2B6">
      <w:start w:val="1"/>
      <w:numFmt w:val="bullet"/>
      <w:lvlText w:val=""/>
      <w:lvlJc w:val="left"/>
      <w:pPr>
        <w:ind w:left="5040" w:hanging="360"/>
      </w:pPr>
      <w:rPr>
        <w:rFonts w:ascii="Symbol" w:hAnsi="Symbol" w:hint="default"/>
      </w:rPr>
    </w:lvl>
    <w:lvl w:ilvl="7" w:tplc="850C7EAC">
      <w:start w:val="1"/>
      <w:numFmt w:val="bullet"/>
      <w:lvlText w:val="o"/>
      <w:lvlJc w:val="left"/>
      <w:pPr>
        <w:ind w:left="5760" w:hanging="360"/>
      </w:pPr>
      <w:rPr>
        <w:rFonts w:ascii="Courier New" w:hAnsi="Courier New" w:hint="default"/>
      </w:rPr>
    </w:lvl>
    <w:lvl w:ilvl="8" w:tplc="2CCE49F6">
      <w:start w:val="1"/>
      <w:numFmt w:val="bullet"/>
      <w:lvlText w:val=""/>
      <w:lvlJc w:val="left"/>
      <w:pPr>
        <w:ind w:left="6480" w:hanging="360"/>
      </w:pPr>
      <w:rPr>
        <w:rFonts w:ascii="Wingdings" w:hAnsi="Wingdings" w:hint="default"/>
      </w:rPr>
    </w:lvl>
  </w:abstractNum>
  <w:num w:numId="1" w16cid:durableId="1690061371">
    <w:abstractNumId w:val="9"/>
  </w:num>
  <w:num w:numId="2" w16cid:durableId="1874226534">
    <w:abstractNumId w:val="5"/>
  </w:num>
  <w:num w:numId="3" w16cid:durableId="579291124">
    <w:abstractNumId w:val="12"/>
  </w:num>
  <w:num w:numId="4" w16cid:durableId="651174100">
    <w:abstractNumId w:val="3"/>
  </w:num>
  <w:num w:numId="5" w16cid:durableId="259800874">
    <w:abstractNumId w:val="4"/>
  </w:num>
  <w:num w:numId="6" w16cid:durableId="29456676">
    <w:abstractNumId w:val="1"/>
  </w:num>
  <w:num w:numId="7" w16cid:durableId="726075223">
    <w:abstractNumId w:val="11"/>
  </w:num>
  <w:num w:numId="8" w16cid:durableId="937251052">
    <w:abstractNumId w:val="0"/>
  </w:num>
  <w:num w:numId="9" w16cid:durableId="1039011987">
    <w:abstractNumId w:val="13"/>
  </w:num>
  <w:num w:numId="10" w16cid:durableId="441414330">
    <w:abstractNumId w:val="7"/>
  </w:num>
  <w:num w:numId="11" w16cid:durableId="495534669">
    <w:abstractNumId w:val="8"/>
  </w:num>
  <w:num w:numId="12" w16cid:durableId="400105167">
    <w:abstractNumId w:val="6"/>
  </w:num>
  <w:num w:numId="13" w16cid:durableId="391392708">
    <w:abstractNumId w:val="10"/>
  </w:num>
  <w:num w:numId="14" w16cid:durableId="82119403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pos w:val="beneathTex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2CFB"/>
    <w:rsid w:val="00012364"/>
    <w:rsid w:val="000127EF"/>
    <w:rsid w:val="00017039"/>
    <w:rsid w:val="00017D34"/>
    <w:rsid w:val="00022125"/>
    <w:rsid w:val="00025182"/>
    <w:rsid w:val="00027EB5"/>
    <w:rsid w:val="00031F90"/>
    <w:rsid w:val="00033C01"/>
    <w:rsid w:val="00034866"/>
    <w:rsid w:val="00036290"/>
    <w:rsid w:val="00040C59"/>
    <w:rsid w:val="000438BB"/>
    <w:rsid w:val="000509B2"/>
    <w:rsid w:val="0005129B"/>
    <w:rsid w:val="000515D4"/>
    <w:rsid w:val="00052F87"/>
    <w:rsid w:val="0005427E"/>
    <w:rsid w:val="000545B7"/>
    <w:rsid w:val="000546C4"/>
    <w:rsid w:val="00055330"/>
    <w:rsid w:val="000555B1"/>
    <w:rsid w:val="00055675"/>
    <w:rsid w:val="00060403"/>
    <w:rsid w:val="0006090C"/>
    <w:rsid w:val="00062D9A"/>
    <w:rsid w:val="00063922"/>
    <w:rsid w:val="00064EFC"/>
    <w:rsid w:val="000702CA"/>
    <w:rsid w:val="00070438"/>
    <w:rsid w:val="00070509"/>
    <w:rsid w:val="000714FC"/>
    <w:rsid w:val="00072C35"/>
    <w:rsid w:val="00073B9A"/>
    <w:rsid w:val="00075800"/>
    <w:rsid w:val="00077C7A"/>
    <w:rsid w:val="000806D1"/>
    <w:rsid w:val="00080CA2"/>
    <w:rsid w:val="00082D43"/>
    <w:rsid w:val="000856FB"/>
    <w:rsid w:val="00086C51"/>
    <w:rsid w:val="00091C28"/>
    <w:rsid w:val="00091C32"/>
    <w:rsid w:val="0009232A"/>
    <w:rsid w:val="000937C2"/>
    <w:rsid w:val="00094B16"/>
    <w:rsid w:val="00094FF4"/>
    <w:rsid w:val="000A299B"/>
    <w:rsid w:val="000A54C3"/>
    <w:rsid w:val="000A6475"/>
    <w:rsid w:val="000B12A8"/>
    <w:rsid w:val="000B30C6"/>
    <w:rsid w:val="000B398B"/>
    <w:rsid w:val="000B3D61"/>
    <w:rsid w:val="000B4A41"/>
    <w:rsid w:val="000C1ABB"/>
    <w:rsid w:val="000C4166"/>
    <w:rsid w:val="000C605F"/>
    <w:rsid w:val="000D1C2C"/>
    <w:rsid w:val="000D2225"/>
    <w:rsid w:val="000D260A"/>
    <w:rsid w:val="000D305E"/>
    <w:rsid w:val="000D418B"/>
    <w:rsid w:val="000D57ED"/>
    <w:rsid w:val="000D6820"/>
    <w:rsid w:val="000D7038"/>
    <w:rsid w:val="000E03B3"/>
    <w:rsid w:val="000E0903"/>
    <w:rsid w:val="000E38C3"/>
    <w:rsid w:val="000E5C5B"/>
    <w:rsid w:val="000F0DB8"/>
    <w:rsid w:val="000F25C4"/>
    <w:rsid w:val="000F4063"/>
    <w:rsid w:val="000F50F1"/>
    <w:rsid w:val="000F61FC"/>
    <w:rsid w:val="000F65AA"/>
    <w:rsid w:val="000F74A2"/>
    <w:rsid w:val="000F757C"/>
    <w:rsid w:val="000F7F46"/>
    <w:rsid w:val="000F7F94"/>
    <w:rsid w:val="00101BA5"/>
    <w:rsid w:val="00101F8B"/>
    <w:rsid w:val="00104DCA"/>
    <w:rsid w:val="001061C0"/>
    <w:rsid w:val="001064FE"/>
    <w:rsid w:val="001070C1"/>
    <w:rsid w:val="00107FDF"/>
    <w:rsid w:val="0011074E"/>
    <w:rsid w:val="001110B2"/>
    <w:rsid w:val="00114118"/>
    <w:rsid w:val="001142F8"/>
    <w:rsid w:val="00114878"/>
    <w:rsid w:val="00120629"/>
    <w:rsid w:val="00121569"/>
    <w:rsid w:val="00126B2B"/>
    <w:rsid w:val="001357FA"/>
    <w:rsid w:val="00137BF2"/>
    <w:rsid w:val="001401A5"/>
    <w:rsid w:val="00144DDB"/>
    <w:rsid w:val="001462EE"/>
    <w:rsid w:val="00150814"/>
    <w:rsid w:val="00151F26"/>
    <w:rsid w:val="00152A9E"/>
    <w:rsid w:val="00153E19"/>
    <w:rsid w:val="00156800"/>
    <w:rsid w:val="00166CB2"/>
    <w:rsid w:val="001702A6"/>
    <w:rsid w:val="001709A3"/>
    <w:rsid w:val="00171609"/>
    <w:rsid w:val="00173D7C"/>
    <w:rsid w:val="00180116"/>
    <w:rsid w:val="0018371E"/>
    <w:rsid w:val="00186C4C"/>
    <w:rsid w:val="00195691"/>
    <w:rsid w:val="00196051"/>
    <w:rsid w:val="00196849"/>
    <w:rsid w:val="00197363"/>
    <w:rsid w:val="001A0593"/>
    <w:rsid w:val="001A0A26"/>
    <w:rsid w:val="001A0F78"/>
    <w:rsid w:val="001A18A0"/>
    <w:rsid w:val="001A25C9"/>
    <w:rsid w:val="001A629D"/>
    <w:rsid w:val="001A6869"/>
    <w:rsid w:val="001A6E27"/>
    <w:rsid w:val="001A7472"/>
    <w:rsid w:val="001A7D67"/>
    <w:rsid w:val="001B00BA"/>
    <w:rsid w:val="001B5254"/>
    <w:rsid w:val="001B55E5"/>
    <w:rsid w:val="001B6D5F"/>
    <w:rsid w:val="001C29DB"/>
    <w:rsid w:val="001C4D73"/>
    <w:rsid w:val="001C6CCE"/>
    <w:rsid w:val="001D0086"/>
    <w:rsid w:val="001D0726"/>
    <w:rsid w:val="001D1384"/>
    <w:rsid w:val="001D6C1D"/>
    <w:rsid w:val="001D6E9E"/>
    <w:rsid w:val="001D7C0C"/>
    <w:rsid w:val="001E0A97"/>
    <w:rsid w:val="001E266C"/>
    <w:rsid w:val="001E29C2"/>
    <w:rsid w:val="001E685B"/>
    <w:rsid w:val="001E7F22"/>
    <w:rsid w:val="001F0E97"/>
    <w:rsid w:val="001F1A39"/>
    <w:rsid w:val="001F5534"/>
    <w:rsid w:val="001F6C19"/>
    <w:rsid w:val="00200D14"/>
    <w:rsid w:val="00201879"/>
    <w:rsid w:val="002018B8"/>
    <w:rsid w:val="0020459F"/>
    <w:rsid w:val="00205B34"/>
    <w:rsid w:val="00205C52"/>
    <w:rsid w:val="002072CD"/>
    <w:rsid w:val="00210189"/>
    <w:rsid w:val="00211124"/>
    <w:rsid w:val="00211C71"/>
    <w:rsid w:val="00211D9C"/>
    <w:rsid w:val="002154B1"/>
    <w:rsid w:val="002164C3"/>
    <w:rsid w:val="002176B5"/>
    <w:rsid w:val="002203E6"/>
    <w:rsid w:val="002208FC"/>
    <w:rsid w:val="002239C2"/>
    <w:rsid w:val="002320AC"/>
    <w:rsid w:val="00233C88"/>
    <w:rsid w:val="00242A82"/>
    <w:rsid w:val="00243481"/>
    <w:rsid w:val="00243A75"/>
    <w:rsid w:val="002470E8"/>
    <w:rsid w:val="00247D21"/>
    <w:rsid w:val="00250D6E"/>
    <w:rsid w:val="00252D6B"/>
    <w:rsid w:val="0025572F"/>
    <w:rsid w:val="0025692E"/>
    <w:rsid w:val="00256DCE"/>
    <w:rsid w:val="0026074F"/>
    <w:rsid w:val="00261FD7"/>
    <w:rsid w:val="0026321D"/>
    <w:rsid w:val="00263E57"/>
    <w:rsid w:val="002650E1"/>
    <w:rsid w:val="0026529A"/>
    <w:rsid w:val="00265538"/>
    <w:rsid w:val="00266DAD"/>
    <w:rsid w:val="0027148D"/>
    <w:rsid w:val="00273865"/>
    <w:rsid w:val="00274E7A"/>
    <w:rsid w:val="00275C5F"/>
    <w:rsid w:val="00275CC7"/>
    <w:rsid w:val="00277C00"/>
    <w:rsid w:val="0028126F"/>
    <w:rsid w:val="00281341"/>
    <w:rsid w:val="00282795"/>
    <w:rsid w:val="00283026"/>
    <w:rsid w:val="00284556"/>
    <w:rsid w:val="00284CB3"/>
    <w:rsid w:val="00285F7D"/>
    <w:rsid w:val="00287991"/>
    <w:rsid w:val="00294042"/>
    <w:rsid w:val="00297117"/>
    <w:rsid w:val="00297396"/>
    <w:rsid w:val="002979A0"/>
    <w:rsid w:val="002A1AD4"/>
    <w:rsid w:val="002A553E"/>
    <w:rsid w:val="002A6C0E"/>
    <w:rsid w:val="002B05E8"/>
    <w:rsid w:val="002B1433"/>
    <w:rsid w:val="002B152F"/>
    <w:rsid w:val="002B3A48"/>
    <w:rsid w:val="002B4301"/>
    <w:rsid w:val="002B7F74"/>
    <w:rsid w:val="002C1EE8"/>
    <w:rsid w:val="002C269D"/>
    <w:rsid w:val="002C6D60"/>
    <w:rsid w:val="002C7EC1"/>
    <w:rsid w:val="002D1D54"/>
    <w:rsid w:val="002D572C"/>
    <w:rsid w:val="002D631F"/>
    <w:rsid w:val="002E0A5C"/>
    <w:rsid w:val="002E36D7"/>
    <w:rsid w:val="002E4CCF"/>
    <w:rsid w:val="002F44BC"/>
    <w:rsid w:val="002F7499"/>
    <w:rsid w:val="00301B72"/>
    <w:rsid w:val="0030439F"/>
    <w:rsid w:val="003065DD"/>
    <w:rsid w:val="00314DAA"/>
    <w:rsid w:val="00321CF6"/>
    <w:rsid w:val="0032376D"/>
    <w:rsid w:val="0032434E"/>
    <w:rsid w:val="003279D6"/>
    <w:rsid w:val="003315C1"/>
    <w:rsid w:val="00331FF2"/>
    <w:rsid w:val="0033351F"/>
    <w:rsid w:val="00337EE8"/>
    <w:rsid w:val="00342547"/>
    <w:rsid w:val="00344726"/>
    <w:rsid w:val="00345BF7"/>
    <w:rsid w:val="00346433"/>
    <w:rsid w:val="00350F3F"/>
    <w:rsid w:val="00352316"/>
    <w:rsid w:val="00355653"/>
    <w:rsid w:val="00355EA2"/>
    <w:rsid w:val="0035715D"/>
    <w:rsid w:val="0035716C"/>
    <w:rsid w:val="0036157A"/>
    <w:rsid w:val="003632A6"/>
    <w:rsid w:val="00363656"/>
    <w:rsid w:val="00365F17"/>
    <w:rsid w:val="003667C0"/>
    <w:rsid w:val="0037294A"/>
    <w:rsid w:val="0037496E"/>
    <w:rsid w:val="0037656A"/>
    <w:rsid w:val="00384730"/>
    <w:rsid w:val="00392828"/>
    <w:rsid w:val="0039301F"/>
    <w:rsid w:val="0039473B"/>
    <w:rsid w:val="00397FCF"/>
    <w:rsid w:val="003A016D"/>
    <w:rsid w:val="003A0545"/>
    <w:rsid w:val="003A1C6F"/>
    <w:rsid w:val="003A2AA4"/>
    <w:rsid w:val="003A4F32"/>
    <w:rsid w:val="003A5738"/>
    <w:rsid w:val="003A73E3"/>
    <w:rsid w:val="003B2A5D"/>
    <w:rsid w:val="003B325C"/>
    <w:rsid w:val="003B3B3A"/>
    <w:rsid w:val="003B6A4F"/>
    <w:rsid w:val="003C2D01"/>
    <w:rsid w:val="003C2FA4"/>
    <w:rsid w:val="003C31A8"/>
    <w:rsid w:val="003C380B"/>
    <w:rsid w:val="003C428B"/>
    <w:rsid w:val="003C6316"/>
    <w:rsid w:val="003D08A3"/>
    <w:rsid w:val="003D73B7"/>
    <w:rsid w:val="003E31C5"/>
    <w:rsid w:val="003E40F7"/>
    <w:rsid w:val="003F07C9"/>
    <w:rsid w:val="003F2949"/>
    <w:rsid w:val="003F4091"/>
    <w:rsid w:val="003F4A60"/>
    <w:rsid w:val="003F6FE0"/>
    <w:rsid w:val="00402F75"/>
    <w:rsid w:val="00403EB3"/>
    <w:rsid w:val="004044A8"/>
    <w:rsid w:val="00407CE2"/>
    <w:rsid w:val="004128B5"/>
    <w:rsid w:val="004155D3"/>
    <w:rsid w:val="00416058"/>
    <w:rsid w:val="00417A06"/>
    <w:rsid w:val="00421A28"/>
    <w:rsid w:val="0042238D"/>
    <w:rsid w:val="0042261B"/>
    <w:rsid w:val="00423170"/>
    <w:rsid w:val="00425767"/>
    <w:rsid w:val="00430012"/>
    <w:rsid w:val="00435246"/>
    <w:rsid w:val="004369A3"/>
    <w:rsid w:val="00437297"/>
    <w:rsid w:val="0043773A"/>
    <w:rsid w:val="004414B1"/>
    <w:rsid w:val="00441EBE"/>
    <w:rsid w:val="00443181"/>
    <w:rsid w:val="00443751"/>
    <w:rsid w:val="004456A8"/>
    <w:rsid w:val="0044622A"/>
    <w:rsid w:val="004475BE"/>
    <w:rsid w:val="0045175A"/>
    <w:rsid w:val="00451BE7"/>
    <w:rsid w:val="00452B1D"/>
    <w:rsid w:val="00454CC7"/>
    <w:rsid w:val="00464111"/>
    <w:rsid w:val="00464D34"/>
    <w:rsid w:val="00471823"/>
    <w:rsid w:val="00472F63"/>
    <w:rsid w:val="00480945"/>
    <w:rsid w:val="004813A2"/>
    <w:rsid w:val="00483EEB"/>
    <w:rsid w:val="0048446E"/>
    <w:rsid w:val="00486609"/>
    <w:rsid w:val="00486854"/>
    <w:rsid w:val="00486C0C"/>
    <w:rsid w:val="00487736"/>
    <w:rsid w:val="00487B04"/>
    <w:rsid w:val="00490530"/>
    <w:rsid w:val="00490AF6"/>
    <w:rsid w:val="00491BBF"/>
    <w:rsid w:val="004945B8"/>
    <w:rsid w:val="004949C2"/>
    <w:rsid w:val="004A055E"/>
    <w:rsid w:val="004A4B75"/>
    <w:rsid w:val="004A5719"/>
    <w:rsid w:val="004A5F57"/>
    <w:rsid w:val="004A6E65"/>
    <w:rsid w:val="004B15C0"/>
    <w:rsid w:val="004B17DC"/>
    <w:rsid w:val="004B1E38"/>
    <w:rsid w:val="004B6EEE"/>
    <w:rsid w:val="004B7D03"/>
    <w:rsid w:val="004C0F0E"/>
    <w:rsid w:val="004C2A45"/>
    <w:rsid w:val="004C3BC2"/>
    <w:rsid w:val="004C4CBE"/>
    <w:rsid w:val="004C562E"/>
    <w:rsid w:val="004C6037"/>
    <w:rsid w:val="004C6F0B"/>
    <w:rsid w:val="004C70E2"/>
    <w:rsid w:val="004D01C6"/>
    <w:rsid w:val="004D080B"/>
    <w:rsid w:val="004D0F63"/>
    <w:rsid w:val="004D2B40"/>
    <w:rsid w:val="004D2BF1"/>
    <w:rsid w:val="004D5DCE"/>
    <w:rsid w:val="004D6670"/>
    <w:rsid w:val="004D7778"/>
    <w:rsid w:val="004E3343"/>
    <w:rsid w:val="004E56AD"/>
    <w:rsid w:val="004E5C93"/>
    <w:rsid w:val="004F2008"/>
    <w:rsid w:val="004F278F"/>
    <w:rsid w:val="004F285A"/>
    <w:rsid w:val="004F4E69"/>
    <w:rsid w:val="004F4FD7"/>
    <w:rsid w:val="004F5493"/>
    <w:rsid w:val="004F7FF8"/>
    <w:rsid w:val="00502F65"/>
    <w:rsid w:val="00503941"/>
    <w:rsid w:val="005047D7"/>
    <w:rsid w:val="00504877"/>
    <w:rsid w:val="005065DD"/>
    <w:rsid w:val="00510C07"/>
    <w:rsid w:val="00511343"/>
    <w:rsid w:val="00520936"/>
    <w:rsid w:val="0052305B"/>
    <w:rsid w:val="005240BE"/>
    <w:rsid w:val="005275AD"/>
    <w:rsid w:val="0053106C"/>
    <w:rsid w:val="00534043"/>
    <w:rsid w:val="005379EF"/>
    <w:rsid w:val="0054003F"/>
    <w:rsid w:val="0054106A"/>
    <w:rsid w:val="005419C5"/>
    <w:rsid w:val="0054639F"/>
    <w:rsid w:val="0054762B"/>
    <w:rsid w:val="00560397"/>
    <w:rsid w:val="005625FE"/>
    <w:rsid w:val="005679A0"/>
    <w:rsid w:val="00567C9F"/>
    <w:rsid w:val="00570419"/>
    <w:rsid w:val="0057076F"/>
    <w:rsid w:val="00572034"/>
    <w:rsid w:val="00573105"/>
    <w:rsid w:val="0057319C"/>
    <w:rsid w:val="0058012F"/>
    <w:rsid w:val="0058166F"/>
    <w:rsid w:val="005842F2"/>
    <w:rsid w:val="00585557"/>
    <w:rsid w:val="00585E23"/>
    <w:rsid w:val="0059134A"/>
    <w:rsid w:val="00593348"/>
    <w:rsid w:val="00594110"/>
    <w:rsid w:val="00594931"/>
    <w:rsid w:val="005949D1"/>
    <w:rsid w:val="0059673E"/>
    <w:rsid w:val="00596AEF"/>
    <w:rsid w:val="00597502"/>
    <w:rsid w:val="005978A7"/>
    <w:rsid w:val="005A3F63"/>
    <w:rsid w:val="005A45F6"/>
    <w:rsid w:val="005A4840"/>
    <w:rsid w:val="005A4B9F"/>
    <w:rsid w:val="005A6023"/>
    <w:rsid w:val="005A6BE5"/>
    <w:rsid w:val="005A7FDE"/>
    <w:rsid w:val="005B0710"/>
    <w:rsid w:val="005B3337"/>
    <w:rsid w:val="005C2E4F"/>
    <w:rsid w:val="005C3511"/>
    <w:rsid w:val="005C3873"/>
    <w:rsid w:val="005C3FC3"/>
    <w:rsid w:val="005C56CE"/>
    <w:rsid w:val="005C77C7"/>
    <w:rsid w:val="005D5004"/>
    <w:rsid w:val="005D5DEA"/>
    <w:rsid w:val="005E189C"/>
    <w:rsid w:val="005E24AB"/>
    <w:rsid w:val="005E363C"/>
    <w:rsid w:val="005E57A5"/>
    <w:rsid w:val="005F06A0"/>
    <w:rsid w:val="005F13AF"/>
    <w:rsid w:val="005F1C85"/>
    <w:rsid w:val="005F24B4"/>
    <w:rsid w:val="005F4562"/>
    <w:rsid w:val="005F46D5"/>
    <w:rsid w:val="006003F6"/>
    <w:rsid w:val="006013FD"/>
    <w:rsid w:val="0060297A"/>
    <w:rsid w:val="00603C1D"/>
    <w:rsid w:val="006045C8"/>
    <w:rsid w:val="00606398"/>
    <w:rsid w:val="00606832"/>
    <w:rsid w:val="00607A1C"/>
    <w:rsid w:val="00607B71"/>
    <w:rsid w:val="00607F78"/>
    <w:rsid w:val="00613078"/>
    <w:rsid w:val="00617BA6"/>
    <w:rsid w:val="00617D5E"/>
    <w:rsid w:val="00622A72"/>
    <w:rsid w:val="006256CA"/>
    <w:rsid w:val="006319ED"/>
    <w:rsid w:val="00631C06"/>
    <w:rsid w:val="006335E2"/>
    <w:rsid w:val="00634DF6"/>
    <w:rsid w:val="0063526B"/>
    <w:rsid w:val="00635439"/>
    <w:rsid w:val="00637051"/>
    <w:rsid w:val="00641945"/>
    <w:rsid w:val="00641B54"/>
    <w:rsid w:val="0064286D"/>
    <w:rsid w:val="00644121"/>
    <w:rsid w:val="006453D9"/>
    <w:rsid w:val="00654B4D"/>
    <w:rsid w:val="00661C00"/>
    <w:rsid w:val="00662F96"/>
    <w:rsid w:val="006634EF"/>
    <w:rsid w:val="00664476"/>
    <w:rsid w:val="00665639"/>
    <w:rsid w:val="00665F46"/>
    <w:rsid w:val="00667B6B"/>
    <w:rsid w:val="00670FBF"/>
    <w:rsid w:val="006712BD"/>
    <w:rsid w:val="006756C3"/>
    <w:rsid w:val="006825DD"/>
    <w:rsid w:val="00682630"/>
    <w:rsid w:val="00686A52"/>
    <w:rsid w:val="00686FE9"/>
    <w:rsid w:val="00687C95"/>
    <w:rsid w:val="00690A26"/>
    <w:rsid w:val="00691419"/>
    <w:rsid w:val="00693F81"/>
    <w:rsid w:val="006A58A8"/>
    <w:rsid w:val="006A6700"/>
    <w:rsid w:val="006A71AE"/>
    <w:rsid w:val="006B0033"/>
    <w:rsid w:val="006B0782"/>
    <w:rsid w:val="006B1323"/>
    <w:rsid w:val="006B2FA3"/>
    <w:rsid w:val="006B7394"/>
    <w:rsid w:val="006C2CAF"/>
    <w:rsid w:val="006C4974"/>
    <w:rsid w:val="006C58C2"/>
    <w:rsid w:val="006D5F9C"/>
    <w:rsid w:val="006D5FC5"/>
    <w:rsid w:val="006D6736"/>
    <w:rsid w:val="006E13CB"/>
    <w:rsid w:val="006E49F0"/>
    <w:rsid w:val="006E4C36"/>
    <w:rsid w:val="006E7A5D"/>
    <w:rsid w:val="006F15D4"/>
    <w:rsid w:val="006F16D8"/>
    <w:rsid w:val="006F1B23"/>
    <w:rsid w:val="006F2845"/>
    <w:rsid w:val="006F3BB8"/>
    <w:rsid w:val="006F4DF3"/>
    <w:rsid w:val="006F66B4"/>
    <w:rsid w:val="00703FF6"/>
    <w:rsid w:val="00704CA1"/>
    <w:rsid w:val="007145D9"/>
    <w:rsid w:val="007146D8"/>
    <w:rsid w:val="00716B91"/>
    <w:rsid w:val="00721F86"/>
    <w:rsid w:val="00725F93"/>
    <w:rsid w:val="00734784"/>
    <w:rsid w:val="007360D8"/>
    <w:rsid w:val="007370CD"/>
    <w:rsid w:val="00744AFA"/>
    <w:rsid w:val="007457EF"/>
    <w:rsid w:val="0074623A"/>
    <w:rsid w:val="007469A4"/>
    <w:rsid w:val="007502D2"/>
    <w:rsid w:val="00751E41"/>
    <w:rsid w:val="00752B72"/>
    <w:rsid w:val="00754D35"/>
    <w:rsid w:val="00757C9B"/>
    <w:rsid w:val="007611A7"/>
    <w:rsid w:val="00762083"/>
    <w:rsid w:val="00762138"/>
    <w:rsid w:val="007633E0"/>
    <w:rsid w:val="00763BA7"/>
    <w:rsid w:val="007653D8"/>
    <w:rsid w:val="0077027D"/>
    <w:rsid w:val="00772692"/>
    <w:rsid w:val="00773889"/>
    <w:rsid w:val="00774185"/>
    <w:rsid w:val="00775716"/>
    <w:rsid w:val="00780328"/>
    <w:rsid w:val="00780CC5"/>
    <w:rsid w:val="00782BF6"/>
    <w:rsid w:val="00782D24"/>
    <w:rsid w:val="00784301"/>
    <w:rsid w:val="00787C59"/>
    <w:rsid w:val="00793290"/>
    <w:rsid w:val="00794B11"/>
    <w:rsid w:val="007967FB"/>
    <w:rsid w:val="00797592"/>
    <w:rsid w:val="007A17B5"/>
    <w:rsid w:val="007A4366"/>
    <w:rsid w:val="007A492F"/>
    <w:rsid w:val="007A6334"/>
    <w:rsid w:val="007A6CF8"/>
    <w:rsid w:val="007B2C91"/>
    <w:rsid w:val="007B40D8"/>
    <w:rsid w:val="007B465A"/>
    <w:rsid w:val="007C1AE6"/>
    <w:rsid w:val="007C1C81"/>
    <w:rsid w:val="007C4F08"/>
    <w:rsid w:val="007C595C"/>
    <w:rsid w:val="007C7633"/>
    <w:rsid w:val="007D07C2"/>
    <w:rsid w:val="007D3757"/>
    <w:rsid w:val="007D4B1B"/>
    <w:rsid w:val="007E1FD6"/>
    <w:rsid w:val="007E42DC"/>
    <w:rsid w:val="007E44BB"/>
    <w:rsid w:val="007E4DDA"/>
    <w:rsid w:val="007E5D9F"/>
    <w:rsid w:val="007E5F9F"/>
    <w:rsid w:val="007F069D"/>
    <w:rsid w:val="007F3243"/>
    <w:rsid w:val="007F600D"/>
    <w:rsid w:val="0080491A"/>
    <w:rsid w:val="008055A9"/>
    <w:rsid w:val="00812A39"/>
    <w:rsid w:val="008158A3"/>
    <w:rsid w:val="0082381D"/>
    <w:rsid w:val="008262BD"/>
    <w:rsid w:val="00826B37"/>
    <w:rsid w:val="00827D8A"/>
    <w:rsid w:val="008303B2"/>
    <w:rsid w:val="00832316"/>
    <w:rsid w:val="00832AE2"/>
    <w:rsid w:val="008332A9"/>
    <w:rsid w:val="0083344D"/>
    <w:rsid w:val="00836614"/>
    <w:rsid w:val="00836AB8"/>
    <w:rsid w:val="00841B04"/>
    <w:rsid w:val="00844E51"/>
    <w:rsid w:val="00845058"/>
    <w:rsid w:val="00845D04"/>
    <w:rsid w:val="0084787E"/>
    <w:rsid w:val="008500C8"/>
    <w:rsid w:val="00850E73"/>
    <w:rsid w:val="00851370"/>
    <w:rsid w:val="008513CB"/>
    <w:rsid w:val="008514F7"/>
    <w:rsid w:val="008550DC"/>
    <w:rsid w:val="008560CC"/>
    <w:rsid w:val="00856A25"/>
    <w:rsid w:val="008573EB"/>
    <w:rsid w:val="00857CBC"/>
    <w:rsid w:val="00857DBA"/>
    <w:rsid w:val="00860F89"/>
    <w:rsid w:val="0086128B"/>
    <w:rsid w:val="008626F1"/>
    <w:rsid w:val="00863D13"/>
    <w:rsid w:val="0086501F"/>
    <w:rsid w:val="00875049"/>
    <w:rsid w:val="00876009"/>
    <w:rsid w:val="0087717A"/>
    <w:rsid w:val="00877BAF"/>
    <w:rsid w:val="00880FB1"/>
    <w:rsid w:val="00880FFC"/>
    <w:rsid w:val="0088134D"/>
    <w:rsid w:val="0088474C"/>
    <w:rsid w:val="0088541C"/>
    <w:rsid w:val="00885FCE"/>
    <w:rsid w:val="0088616B"/>
    <w:rsid w:val="008863CF"/>
    <w:rsid w:val="00887C8A"/>
    <w:rsid w:val="00890B9D"/>
    <w:rsid w:val="00893898"/>
    <w:rsid w:val="0089707F"/>
    <w:rsid w:val="00897E1F"/>
    <w:rsid w:val="008A015A"/>
    <w:rsid w:val="008A02FE"/>
    <w:rsid w:val="008A1798"/>
    <w:rsid w:val="008A3AF7"/>
    <w:rsid w:val="008A4FD4"/>
    <w:rsid w:val="008A537F"/>
    <w:rsid w:val="008A618A"/>
    <w:rsid w:val="008B18CC"/>
    <w:rsid w:val="008B40CE"/>
    <w:rsid w:val="008B70E7"/>
    <w:rsid w:val="008B7C28"/>
    <w:rsid w:val="008C3120"/>
    <w:rsid w:val="008C352A"/>
    <w:rsid w:val="008D14A7"/>
    <w:rsid w:val="008D3BCC"/>
    <w:rsid w:val="008D597E"/>
    <w:rsid w:val="008E30A9"/>
    <w:rsid w:val="008E323A"/>
    <w:rsid w:val="008E4497"/>
    <w:rsid w:val="008F0A97"/>
    <w:rsid w:val="008F0C28"/>
    <w:rsid w:val="008F1015"/>
    <w:rsid w:val="008F32ED"/>
    <w:rsid w:val="008F5D8E"/>
    <w:rsid w:val="008F762F"/>
    <w:rsid w:val="008F7D8E"/>
    <w:rsid w:val="00903FA3"/>
    <w:rsid w:val="009124D0"/>
    <w:rsid w:val="009125DF"/>
    <w:rsid w:val="00912F51"/>
    <w:rsid w:val="0091436E"/>
    <w:rsid w:val="00914FAC"/>
    <w:rsid w:val="0091500C"/>
    <w:rsid w:val="009155EA"/>
    <w:rsid w:val="009170E9"/>
    <w:rsid w:val="0092125E"/>
    <w:rsid w:val="00921C46"/>
    <w:rsid w:val="00921DC4"/>
    <w:rsid w:val="00922CE1"/>
    <w:rsid w:val="009247C3"/>
    <w:rsid w:val="00924F20"/>
    <w:rsid w:val="009267DC"/>
    <w:rsid w:val="00936CFE"/>
    <w:rsid w:val="00942613"/>
    <w:rsid w:val="0094727D"/>
    <w:rsid w:val="0094780B"/>
    <w:rsid w:val="0095036A"/>
    <w:rsid w:val="00950738"/>
    <w:rsid w:val="009524F9"/>
    <w:rsid w:val="00953C16"/>
    <w:rsid w:val="00960866"/>
    <w:rsid w:val="00962764"/>
    <w:rsid w:val="00965433"/>
    <w:rsid w:val="00965A59"/>
    <w:rsid w:val="00966846"/>
    <w:rsid w:val="009718BA"/>
    <w:rsid w:val="0097298A"/>
    <w:rsid w:val="0097671C"/>
    <w:rsid w:val="00977421"/>
    <w:rsid w:val="00983997"/>
    <w:rsid w:val="009847B1"/>
    <w:rsid w:val="00993075"/>
    <w:rsid w:val="00993354"/>
    <w:rsid w:val="00993AD1"/>
    <w:rsid w:val="00993D61"/>
    <w:rsid w:val="00993E52"/>
    <w:rsid w:val="00996ECF"/>
    <w:rsid w:val="009A1044"/>
    <w:rsid w:val="009A13C3"/>
    <w:rsid w:val="009A2CF8"/>
    <w:rsid w:val="009A364A"/>
    <w:rsid w:val="009A5CA4"/>
    <w:rsid w:val="009A7329"/>
    <w:rsid w:val="009A75AC"/>
    <w:rsid w:val="009A7C0E"/>
    <w:rsid w:val="009B00F4"/>
    <w:rsid w:val="009B5D7A"/>
    <w:rsid w:val="009B6A52"/>
    <w:rsid w:val="009C14DF"/>
    <w:rsid w:val="009C3B62"/>
    <w:rsid w:val="009C4AB9"/>
    <w:rsid w:val="009D00DF"/>
    <w:rsid w:val="009D7930"/>
    <w:rsid w:val="009E0E8C"/>
    <w:rsid w:val="009E3AA7"/>
    <w:rsid w:val="009F2B86"/>
    <w:rsid w:val="009F414A"/>
    <w:rsid w:val="009F5B90"/>
    <w:rsid w:val="009F5CF7"/>
    <w:rsid w:val="009F79BF"/>
    <w:rsid w:val="009F7BA9"/>
    <w:rsid w:val="00A01542"/>
    <w:rsid w:val="00A01E5E"/>
    <w:rsid w:val="00A01ECC"/>
    <w:rsid w:val="00A036C2"/>
    <w:rsid w:val="00A04D5C"/>
    <w:rsid w:val="00A050DB"/>
    <w:rsid w:val="00A06F7C"/>
    <w:rsid w:val="00A12A7B"/>
    <w:rsid w:val="00A12E76"/>
    <w:rsid w:val="00A13EC9"/>
    <w:rsid w:val="00A1523E"/>
    <w:rsid w:val="00A15C6B"/>
    <w:rsid w:val="00A20F21"/>
    <w:rsid w:val="00A25A86"/>
    <w:rsid w:val="00A26535"/>
    <w:rsid w:val="00A26E06"/>
    <w:rsid w:val="00A27730"/>
    <w:rsid w:val="00A31E97"/>
    <w:rsid w:val="00A331E2"/>
    <w:rsid w:val="00A33CAC"/>
    <w:rsid w:val="00A344DA"/>
    <w:rsid w:val="00A41BDE"/>
    <w:rsid w:val="00A4323C"/>
    <w:rsid w:val="00A450AC"/>
    <w:rsid w:val="00A4616A"/>
    <w:rsid w:val="00A46A22"/>
    <w:rsid w:val="00A513D6"/>
    <w:rsid w:val="00A51545"/>
    <w:rsid w:val="00A5166A"/>
    <w:rsid w:val="00A57729"/>
    <w:rsid w:val="00A60FAB"/>
    <w:rsid w:val="00A6376A"/>
    <w:rsid w:val="00A64A55"/>
    <w:rsid w:val="00A66689"/>
    <w:rsid w:val="00A7318E"/>
    <w:rsid w:val="00A80498"/>
    <w:rsid w:val="00A80BF0"/>
    <w:rsid w:val="00A8405A"/>
    <w:rsid w:val="00A84337"/>
    <w:rsid w:val="00A84E34"/>
    <w:rsid w:val="00A86C7D"/>
    <w:rsid w:val="00A91FC5"/>
    <w:rsid w:val="00A92BC9"/>
    <w:rsid w:val="00A93242"/>
    <w:rsid w:val="00A94F59"/>
    <w:rsid w:val="00A94FFA"/>
    <w:rsid w:val="00A95D0E"/>
    <w:rsid w:val="00A9640A"/>
    <w:rsid w:val="00AA00E7"/>
    <w:rsid w:val="00AA1B25"/>
    <w:rsid w:val="00AA1C42"/>
    <w:rsid w:val="00AA2FA3"/>
    <w:rsid w:val="00AA3884"/>
    <w:rsid w:val="00AA6064"/>
    <w:rsid w:val="00AA6F33"/>
    <w:rsid w:val="00AA79ED"/>
    <w:rsid w:val="00AA79F3"/>
    <w:rsid w:val="00AB14A4"/>
    <w:rsid w:val="00AB35FD"/>
    <w:rsid w:val="00AC095D"/>
    <w:rsid w:val="00AC1698"/>
    <w:rsid w:val="00AC1A96"/>
    <w:rsid w:val="00AC7C51"/>
    <w:rsid w:val="00AD01AE"/>
    <w:rsid w:val="00AD3E0E"/>
    <w:rsid w:val="00AD403B"/>
    <w:rsid w:val="00AD516E"/>
    <w:rsid w:val="00AD604D"/>
    <w:rsid w:val="00AE0683"/>
    <w:rsid w:val="00AE1467"/>
    <w:rsid w:val="00AE19D3"/>
    <w:rsid w:val="00AE25A9"/>
    <w:rsid w:val="00AF01C8"/>
    <w:rsid w:val="00AF0D91"/>
    <w:rsid w:val="00AF4DEE"/>
    <w:rsid w:val="00AF57D1"/>
    <w:rsid w:val="00AF77D7"/>
    <w:rsid w:val="00B04152"/>
    <w:rsid w:val="00B068BD"/>
    <w:rsid w:val="00B06944"/>
    <w:rsid w:val="00B070B0"/>
    <w:rsid w:val="00B104F7"/>
    <w:rsid w:val="00B105FA"/>
    <w:rsid w:val="00B1454A"/>
    <w:rsid w:val="00B14FE8"/>
    <w:rsid w:val="00B16EAA"/>
    <w:rsid w:val="00B23143"/>
    <w:rsid w:val="00B23EA1"/>
    <w:rsid w:val="00B24F35"/>
    <w:rsid w:val="00B30239"/>
    <w:rsid w:val="00B323ED"/>
    <w:rsid w:val="00B33244"/>
    <w:rsid w:val="00B34B9A"/>
    <w:rsid w:val="00B3666A"/>
    <w:rsid w:val="00B43B99"/>
    <w:rsid w:val="00B44FFE"/>
    <w:rsid w:val="00B45441"/>
    <w:rsid w:val="00B55145"/>
    <w:rsid w:val="00B57600"/>
    <w:rsid w:val="00B60F9B"/>
    <w:rsid w:val="00B62211"/>
    <w:rsid w:val="00B64FA4"/>
    <w:rsid w:val="00B66D08"/>
    <w:rsid w:val="00B67492"/>
    <w:rsid w:val="00B7342D"/>
    <w:rsid w:val="00B75513"/>
    <w:rsid w:val="00B76995"/>
    <w:rsid w:val="00B80068"/>
    <w:rsid w:val="00B927B1"/>
    <w:rsid w:val="00B96288"/>
    <w:rsid w:val="00B97DEE"/>
    <w:rsid w:val="00BA3108"/>
    <w:rsid w:val="00BA3CA4"/>
    <w:rsid w:val="00BA4521"/>
    <w:rsid w:val="00BA4756"/>
    <w:rsid w:val="00BA4AF2"/>
    <w:rsid w:val="00BA6300"/>
    <w:rsid w:val="00BA63ED"/>
    <w:rsid w:val="00BB0652"/>
    <w:rsid w:val="00BB3C32"/>
    <w:rsid w:val="00BB4528"/>
    <w:rsid w:val="00BB45D1"/>
    <w:rsid w:val="00BB5CF2"/>
    <w:rsid w:val="00BB6FFE"/>
    <w:rsid w:val="00BB7639"/>
    <w:rsid w:val="00BC04A4"/>
    <w:rsid w:val="00BC36DC"/>
    <w:rsid w:val="00BC5DD0"/>
    <w:rsid w:val="00BD0F3F"/>
    <w:rsid w:val="00BD3836"/>
    <w:rsid w:val="00BD4894"/>
    <w:rsid w:val="00BE1F89"/>
    <w:rsid w:val="00BE57DF"/>
    <w:rsid w:val="00BE58F4"/>
    <w:rsid w:val="00BE646C"/>
    <w:rsid w:val="00BE674F"/>
    <w:rsid w:val="00BE6FB3"/>
    <w:rsid w:val="00BE7F90"/>
    <w:rsid w:val="00BF28F6"/>
    <w:rsid w:val="00BF29D4"/>
    <w:rsid w:val="00BF3B12"/>
    <w:rsid w:val="00BF41B7"/>
    <w:rsid w:val="00BF4E33"/>
    <w:rsid w:val="00C01449"/>
    <w:rsid w:val="00C0178F"/>
    <w:rsid w:val="00C0236C"/>
    <w:rsid w:val="00C04F7E"/>
    <w:rsid w:val="00C10D83"/>
    <w:rsid w:val="00C11347"/>
    <w:rsid w:val="00C11782"/>
    <w:rsid w:val="00C142BE"/>
    <w:rsid w:val="00C2210C"/>
    <w:rsid w:val="00C24DE3"/>
    <w:rsid w:val="00C27CE2"/>
    <w:rsid w:val="00C36A89"/>
    <w:rsid w:val="00C46010"/>
    <w:rsid w:val="00C4789E"/>
    <w:rsid w:val="00C52494"/>
    <w:rsid w:val="00C525EE"/>
    <w:rsid w:val="00C56550"/>
    <w:rsid w:val="00C63279"/>
    <w:rsid w:val="00C639F6"/>
    <w:rsid w:val="00C6528E"/>
    <w:rsid w:val="00C65B15"/>
    <w:rsid w:val="00C66D6D"/>
    <w:rsid w:val="00C70CEA"/>
    <w:rsid w:val="00C71CF8"/>
    <w:rsid w:val="00C71E1F"/>
    <w:rsid w:val="00C7412C"/>
    <w:rsid w:val="00C74E85"/>
    <w:rsid w:val="00C752A5"/>
    <w:rsid w:val="00C75534"/>
    <w:rsid w:val="00C75D61"/>
    <w:rsid w:val="00C76C11"/>
    <w:rsid w:val="00C820B3"/>
    <w:rsid w:val="00C82B3E"/>
    <w:rsid w:val="00C850FA"/>
    <w:rsid w:val="00C91DB9"/>
    <w:rsid w:val="00C92E03"/>
    <w:rsid w:val="00C94A72"/>
    <w:rsid w:val="00C94A9F"/>
    <w:rsid w:val="00C95BC7"/>
    <w:rsid w:val="00C967EF"/>
    <w:rsid w:val="00C96B16"/>
    <w:rsid w:val="00C977A0"/>
    <w:rsid w:val="00CA47A4"/>
    <w:rsid w:val="00CA5952"/>
    <w:rsid w:val="00CA7A03"/>
    <w:rsid w:val="00CB0733"/>
    <w:rsid w:val="00CB26E3"/>
    <w:rsid w:val="00CB3193"/>
    <w:rsid w:val="00CB34FB"/>
    <w:rsid w:val="00CC0611"/>
    <w:rsid w:val="00CC48B1"/>
    <w:rsid w:val="00CC4CE1"/>
    <w:rsid w:val="00CC4E4B"/>
    <w:rsid w:val="00CC4FA7"/>
    <w:rsid w:val="00CC69FB"/>
    <w:rsid w:val="00CD2C90"/>
    <w:rsid w:val="00CD706F"/>
    <w:rsid w:val="00CF0376"/>
    <w:rsid w:val="00CF08E4"/>
    <w:rsid w:val="00CF33DF"/>
    <w:rsid w:val="00CF5E76"/>
    <w:rsid w:val="00CF6EF4"/>
    <w:rsid w:val="00D01971"/>
    <w:rsid w:val="00D02B64"/>
    <w:rsid w:val="00D0338B"/>
    <w:rsid w:val="00D04F3F"/>
    <w:rsid w:val="00D07861"/>
    <w:rsid w:val="00D10992"/>
    <w:rsid w:val="00D13AA4"/>
    <w:rsid w:val="00D2170B"/>
    <w:rsid w:val="00D22A2F"/>
    <w:rsid w:val="00D249AB"/>
    <w:rsid w:val="00D24F5C"/>
    <w:rsid w:val="00D26C23"/>
    <w:rsid w:val="00D27A45"/>
    <w:rsid w:val="00D30F0B"/>
    <w:rsid w:val="00D32E49"/>
    <w:rsid w:val="00D34733"/>
    <w:rsid w:val="00D3570B"/>
    <w:rsid w:val="00D35D56"/>
    <w:rsid w:val="00D40A4A"/>
    <w:rsid w:val="00D447BA"/>
    <w:rsid w:val="00D44EA9"/>
    <w:rsid w:val="00D46622"/>
    <w:rsid w:val="00D479C2"/>
    <w:rsid w:val="00D50F64"/>
    <w:rsid w:val="00D53946"/>
    <w:rsid w:val="00D62489"/>
    <w:rsid w:val="00D6492A"/>
    <w:rsid w:val="00D65AB0"/>
    <w:rsid w:val="00D66AB2"/>
    <w:rsid w:val="00D72602"/>
    <w:rsid w:val="00D7409D"/>
    <w:rsid w:val="00D75547"/>
    <w:rsid w:val="00D811DC"/>
    <w:rsid w:val="00D82316"/>
    <w:rsid w:val="00D82CA3"/>
    <w:rsid w:val="00D831FD"/>
    <w:rsid w:val="00D83835"/>
    <w:rsid w:val="00D86257"/>
    <w:rsid w:val="00D90510"/>
    <w:rsid w:val="00D92006"/>
    <w:rsid w:val="00DA0AB1"/>
    <w:rsid w:val="00DA1259"/>
    <w:rsid w:val="00DA25A0"/>
    <w:rsid w:val="00DA280E"/>
    <w:rsid w:val="00DA3B88"/>
    <w:rsid w:val="00DA3C94"/>
    <w:rsid w:val="00DA5CA9"/>
    <w:rsid w:val="00DA745B"/>
    <w:rsid w:val="00DB0A59"/>
    <w:rsid w:val="00DB1317"/>
    <w:rsid w:val="00DB2566"/>
    <w:rsid w:val="00DB5A8F"/>
    <w:rsid w:val="00DB7038"/>
    <w:rsid w:val="00DC03F1"/>
    <w:rsid w:val="00DC0596"/>
    <w:rsid w:val="00DC1F0F"/>
    <w:rsid w:val="00DC29C8"/>
    <w:rsid w:val="00DC3DFE"/>
    <w:rsid w:val="00DC433D"/>
    <w:rsid w:val="00DD0CB1"/>
    <w:rsid w:val="00DD0E39"/>
    <w:rsid w:val="00DD1882"/>
    <w:rsid w:val="00DD389A"/>
    <w:rsid w:val="00DD434A"/>
    <w:rsid w:val="00DD561C"/>
    <w:rsid w:val="00DD586F"/>
    <w:rsid w:val="00DD5E4D"/>
    <w:rsid w:val="00DE18A7"/>
    <w:rsid w:val="00DE1F25"/>
    <w:rsid w:val="00DE6149"/>
    <w:rsid w:val="00DE70B0"/>
    <w:rsid w:val="00DF0AB6"/>
    <w:rsid w:val="00DF0D59"/>
    <w:rsid w:val="00DF0D75"/>
    <w:rsid w:val="00DF253D"/>
    <w:rsid w:val="00DF36DB"/>
    <w:rsid w:val="00DF4468"/>
    <w:rsid w:val="00DF6424"/>
    <w:rsid w:val="00DF64DB"/>
    <w:rsid w:val="00E056E4"/>
    <w:rsid w:val="00E06595"/>
    <w:rsid w:val="00E06C33"/>
    <w:rsid w:val="00E16138"/>
    <w:rsid w:val="00E162A0"/>
    <w:rsid w:val="00E164AC"/>
    <w:rsid w:val="00E22503"/>
    <w:rsid w:val="00E24D71"/>
    <w:rsid w:val="00E25B63"/>
    <w:rsid w:val="00E35495"/>
    <w:rsid w:val="00E3549D"/>
    <w:rsid w:val="00E40E4A"/>
    <w:rsid w:val="00E41565"/>
    <w:rsid w:val="00E4257A"/>
    <w:rsid w:val="00E42D95"/>
    <w:rsid w:val="00E449F8"/>
    <w:rsid w:val="00E469FF"/>
    <w:rsid w:val="00E46A02"/>
    <w:rsid w:val="00E52D76"/>
    <w:rsid w:val="00E54049"/>
    <w:rsid w:val="00E5439C"/>
    <w:rsid w:val="00E551C9"/>
    <w:rsid w:val="00E56639"/>
    <w:rsid w:val="00E56847"/>
    <w:rsid w:val="00E57AA3"/>
    <w:rsid w:val="00E607C7"/>
    <w:rsid w:val="00E64279"/>
    <w:rsid w:val="00E651B3"/>
    <w:rsid w:val="00E6637E"/>
    <w:rsid w:val="00E67AC2"/>
    <w:rsid w:val="00E71894"/>
    <w:rsid w:val="00E71C94"/>
    <w:rsid w:val="00E747DD"/>
    <w:rsid w:val="00E804FB"/>
    <w:rsid w:val="00E82971"/>
    <w:rsid w:val="00E83D01"/>
    <w:rsid w:val="00E84E34"/>
    <w:rsid w:val="00E866FF"/>
    <w:rsid w:val="00E943E2"/>
    <w:rsid w:val="00E9544D"/>
    <w:rsid w:val="00E960A2"/>
    <w:rsid w:val="00E960FB"/>
    <w:rsid w:val="00E96681"/>
    <w:rsid w:val="00EA1894"/>
    <w:rsid w:val="00EA18FA"/>
    <w:rsid w:val="00EA2640"/>
    <w:rsid w:val="00EA4CEB"/>
    <w:rsid w:val="00EB088E"/>
    <w:rsid w:val="00EB1C3B"/>
    <w:rsid w:val="00EB2D47"/>
    <w:rsid w:val="00EB375D"/>
    <w:rsid w:val="00EB3F22"/>
    <w:rsid w:val="00EB42C9"/>
    <w:rsid w:val="00EB5388"/>
    <w:rsid w:val="00EB6669"/>
    <w:rsid w:val="00EB6E7D"/>
    <w:rsid w:val="00EB79E7"/>
    <w:rsid w:val="00EC38A6"/>
    <w:rsid w:val="00EC72F6"/>
    <w:rsid w:val="00ED51BA"/>
    <w:rsid w:val="00ED5395"/>
    <w:rsid w:val="00ED5638"/>
    <w:rsid w:val="00EE5795"/>
    <w:rsid w:val="00EE6F1F"/>
    <w:rsid w:val="00EF01CC"/>
    <w:rsid w:val="00EF10D5"/>
    <w:rsid w:val="00F0004E"/>
    <w:rsid w:val="00F05574"/>
    <w:rsid w:val="00F06396"/>
    <w:rsid w:val="00F10264"/>
    <w:rsid w:val="00F115B2"/>
    <w:rsid w:val="00F11B1C"/>
    <w:rsid w:val="00F124CD"/>
    <w:rsid w:val="00F142B1"/>
    <w:rsid w:val="00F17DDD"/>
    <w:rsid w:val="00F218B5"/>
    <w:rsid w:val="00F24021"/>
    <w:rsid w:val="00F24EE2"/>
    <w:rsid w:val="00F26BAF"/>
    <w:rsid w:val="00F27FAC"/>
    <w:rsid w:val="00F363D5"/>
    <w:rsid w:val="00F400B5"/>
    <w:rsid w:val="00F440AF"/>
    <w:rsid w:val="00F5083F"/>
    <w:rsid w:val="00F509E5"/>
    <w:rsid w:val="00F5238A"/>
    <w:rsid w:val="00F52C67"/>
    <w:rsid w:val="00F52D50"/>
    <w:rsid w:val="00F55408"/>
    <w:rsid w:val="00F60C55"/>
    <w:rsid w:val="00F61FD3"/>
    <w:rsid w:val="00F7488F"/>
    <w:rsid w:val="00F7509E"/>
    <w:rsid w:val="00F7530E"/>
    <w:rsid w:val="00F77D7E"/>
    <w:rsid w:val="00F825DB"/>
    <w:rsid w:val="00F8284F"/>
    <w:rsid w:val="00F918EC"/>
    <w:rsid w:val="00F93F6F"/>
    <w:rsid w:val="00F966EC"/>
    <w:rsid w:val="00FA418E"/>
    <w:rsid w:val="00FB0C84"/>
    <w:rsid w:val="00FB3A32"/>
    <w:rsid w:val="00FB659E"/>
    <w:rsid w:val="00FB6E97"/>
    <w:rsid w:val="00FC31D6"/>
    <w:rsid w:val="00FC3BB7"/>
    <w:rsid w:val="00FC7832"/>
    <w:rsid w:val="00FC7BC1"/>
    <w:rsid w:val="00FD1F21"/>
    <w:rsid w:val="00FD26BB"/>
    <w:rsid w:val="00FE14F8"/>
    <w:rsid w:val="00FE3360"/>
    <w:rsid w:val="00FE5CD8"/>
    <w:rsid w:val="00FE6673"/>
    <w:rsid w:val="00FE6F38"/>
    <w:rsid w:val="00FE79FA"/>
    <w:rsid w:val="00FF1952"/>
    <w:rsid w:val="00FF3A76"/>
    <w:rsid w:val="00FF5D36"/>
    <w:rsid w:val="0112400E"/>
    <w:rsid w:val="017EEDD5"/>
    <w:rsid w:val="01991251"/>
    <w:rsid w:val="02AB4EE3"/>
    <w:rsid w:val="031780DD"/>
    <w:rsid w:val="06F7D218"/>
    <w:rsid w:val="074E9808"/>
    <w:rsid w:val="08741857"/>
    <w:rsid w:val="08B622BF"/>
    <w:rsid w:val="0B145B74"/>
    <w:rsid w:val="0CBB0342"/>
    <w:rsid w:val="0D06649A"/>
    <w:rsid w:val="0DFB4052"/>
    <w:rsid w:val="0E440B17"/>
    <w:rsid w:val="0E77C038"/>
    <w:rsid w:val="0EC72386"/>
    <w:rsid w:val="0F2B4DF8"/>
    <w:rsid w:val="0FEC5C71"/>
    <w:rsid w:val="1305F962"/>
    <w:rsid w:val="135E119B"/>
    <w:rsid w:val="14149472"/>
    <w:rsid w:val="14DE569C"/>
    <w:rsid w:val="1700DE58"/>
    <w:rsid w:val="175D41D4"/>
    <w:rsid w:val="19D62DEA"/>
    <w:rsid w:val="1A0B4EC7"/>
    <w:rsid w:val="1A0DEF52"/>
    <w:rsid w:val="1AC3D856"/>
    <w:rsid w:val="1AD1ED75"/>
    <w:rsid w:val="1B0047E3"/>
    <w:rsid w:val="1CA0951D"/>
    <w:rsid w:val="1DEA5AE7"/>
    <w:rsid w:val="20E34E60"/>
    <w:rsid w:val="20E940DC"/>
    <w:rsid w:val="22CA941D"/>
    <w:rsid w:val="24382D74"/>
    <w:rsid w:val="252D11A1"/>
    <w:rsid w:val="254DC405"/>
    <w:rsid w:val="2677087D"/>
    <w:rsid w:val="2683C146"/>
    <w:rsid w:val="289F9C8F"/>
    <w:rsid w:val="294C9FCF"/>
    <w:rsid w:val="2EBC4599"/>
    <w:rsid w:val="2EFCFCD4"/>
    <w:rsid w:val="30EF698A"/>
    <w:rsid w:val="31980EC4"/>
    <w:rsid w:val="31A3520C"/>
    <w:rsid w:val="3589D83F"/>
    <w:rsid w:val="397E25DD"/>
    <w:rsid w:val="39930096"/>
    <w:rsid w:val="3AED446A"/>
    <w:rsid w:val="3D8382F7"/>
    <w:rsid w:val="432DBEF7"/>
    <w:rsid w:val="4481713B"/>
    <w:rsid w:val="44F491D1"/>
    <w:rsid w:val="454C7BD5"/>
    <w:rsid w:val="46D57AB6"/>
    <w:rsid w:val="47057253"/>
    <w:rsid w:val="479C7219"/>
    <w:rsid w:val="47A70245"/>
    <w:rsid w:val="4975AA93"/>
    <w:rsid w:val="4A3FDA12"/>
    <w:rsid w:val="4CC7EA38"/>
    <w:rsid w:val="4F8D4AFE"/>
    <w:rsid w:val="50832D59"/>
    <w:rsid w:val="514F893C"/>
    <w:rsid w:val="51865B68"/>
    <w:rsid w:val="520FEF37"/>
    <w:rsid w:val="521FD6B8"/>
    <w:rsid w:val="53EE8B78"/>
    <w:rsid w:val="54CC8E44"/>
    <w:rsid w:val="562A0C82"/>
    <w:rsid w:val="571A2A32"/>
    <w:rsid w:val="57D73FF3"/>
    <w:rsid w:val="59BB11CB"/>
    <w:rsid w:val="59EFB707"/>
    <w:rsid w:val="59F8D22F"/>
    <w:rsid w:val="5AA64FC0"/>
    <w:rsid w:val="5B97DD0C"/>
    <w:rsid w:val="5CE3A790"/>
    <w:rsid w:val="5DA858D2"/>
    <w:rsid w:val="5EEB1840"/>
    <w:rsid w:val="60250112"/>
    <w:rsid w:val="60308830"/>
    <w:rsid w:val="612131DD"/>
    <w:rsid w:val="61B8A9E6"/>
    <w:rsid w:val="620F6C85"/>
    <w:rsid w:val="625BFA28"/>
    <w:rsid w:val="640DE5E1"/>
    <w:rsid w:val="69131B65"/>
    <w:rsid w:val="6E87283D"/>
    <w:rsid w:val="6EAAEB98"/>
    <w:rsid w:val="6F3F2C62"/>
    <w:rsid w:val="6FCCF111"/>
    <w:rsid w:val="703C85A2"/>
    <w:rsid w:val="70D1F773"/>
    <w:rsid w:val="747AED00"/>
    <w:rsid w:val="74BA8F48"/>
    <w:rsid w:val="756C4F17"/>
    <w:rsid w:val="79BBFA0C"/>
    <w:rsid w:val="7A60AD7B"/>
    <w:rsid w:val="7AD72ADB"/>
    <w:rsid w:val="7B985447"/>
    <w:rsid w:val="7ECB7879"/>
    <w:rsid w:val="7FF50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8A3"/>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ListParagraph">
    <w:name w:val="List Paragraph"/>
    <w:basedOn w:val="Normal"/>
    <w:uiPriority w:val="34"/>
    <w:qFormat/>
    <w:rsid w:val="00510C07"/>
    <w:pPr>
      <w:ind w:left="720"/>
      <w:contextualSpacing/>
    </w:pPr>
  </w:style>
  <w:style w:type="paragraph" w:styleId="FootnoteText">
    <w:name w:val="footnote text"/>
    <w:basedOn w:val="Normal"/>
    <w:link w:val="FootnoteTextChar"/>
    <w:uiPriority w:val="99"/>
    <w:semiHidden/>
    <w:unhideWhenUsed/>
    <w:rsid w:val="00C46010"/>
    <w:pPr>
      <w:spacing w:after="0"/>
    </w:pPr>
    <w:rPr>
      <w:sz w:val="20"/>
      <w:szCs w:val="20"/>
    </w:rPr>
  </w:style>
  <w:style w:type="character" w:customStyle="1" w:styleId="FootnoteTextChar">
    <w:name w:val="Footnote Text Char"/>
    <w:basedOn w:val="DefaultParagraphFont"/>
    <w:link w:val="FootnoteText"/>
    <w:uiPriority w:val="99"/>
    <w:semiHidden/>
    <w:rsid w:val="00C46010"/>
    <w:rPr>
      <w:rFonts w:ascii="Arial" w:eastAsiaTheme="minorEastAsia" w:hAnsi="Arial" w:cs="Arial"/>
      <w:sz w:val="20"/>
      <w:szCs w:val="20"/>
      <w:lang w:eastAsia="en-GB"/>
    </w:rPr>
  </w:style>
  <w:style w:type="character" w:styleId="FootnoteReference">
    <w:name w:val="footnote reference"/>
    <w:basedOn w:val="DefaultParagraphFont"/>
    <w:uiPriority w:val="99"/>
    <w:semiHidden/>
    <w:unhideWhenUsed/>
    <w:rsid w:val="00C46010"/>
    <w:rPr>
      <w:vertAlign w:val="superscript"/>
    </w:rPr>
  </w:style>
  <w:style w:type="paragraph" w:styleId="EndnoteText">
    <w:name w:val="endnote text"/>
    <w:basedOn w:val="Normal"/>
    <w:link w:val="EndnoteTextChar"/>
    <w:uiPriority w:val="99"/>
    <w:semiHidden/>
    <w:unhideWhenUsed/>
    <w:rsid w:val="00C46010"/>
    <w:pPr>
      <w:spacing w:after="0"/>
    </w:pPr>
    <w:rPr>
      <w:sz w:val="20"/>
      <w:szCs w:val="20"/>
    </w:rPr>
  </w:style>
  <w:style w:type="character" w:customStyle="1" w:styleId="EndnoteTextChar">
    <w:name w:val="Endnote Text Char"/>
    <w:basedOn w:val="DefaultParagraphFont"/>
    <w:link w:val="EndnoteText"/>
    <w:uiPriority w:val="99"/>
    <w:semiHidden/>
    <w:rsid w:val="00C46010"/>
    <w:rPr>
      <w:rFonts w:ascii="Arial" w:eastAsiaTheme="minorEastAsia" w:hAnsi="Arial" w:cs="Arial"/>
      <w:sz w:val="20"/>
      <w:szCs w:val="20"/>
      <w:lang w:eastAsia="en-GB"/>
    </w:rPr>
  </w:style>
  <w:style w:type="character" w:styleId="EndnoteReference">
    <w:name w:val="endnote reference"/>
    <w:basedOn w:val="DefaultParagraphFont"/>
    <w:uiPriority w:val="99"/>
    <w:semiHidden/>
    <w:unhideWhenUsed/>
    <w:rsid w:val="00C46010"/>
    <w:rPr>
      <w:vertAlign w:val="superscript"/>
    </w:rPr>
  </w:style>
  <w:style w:type="character" w:styleId="UnresolvedMention">
    <w:name w:val="Unresolved Mention"/>
    <w:basedOn w:val="DefaultParagraphFont"/>
    <w:uiPriority w:val="99"/>
    <w:semiHidden/>
    <w:unhideWhenUsed/>
    <w:rsid w:val="00C46010"/>
    <w:rPr>
      <w:color w:val="605E5C"/>
      <w:shd w:val="clear" w:color="auto" w:fill="E1DFDD"/>
    </w:rPr>
  </w:style>
  <w:style w:type="character" w:styleId="CommentReference">
    <w:name w:val="annotation reference"/>
    <w:basedOn w:val="DefaultParagraphFont"/>
    <w:uiPriority w:val="99"/>
    <w:semiHidden/>
    <w:unhideWhenUsed/>
    <w:rsid w:val="004D2BF1"/>
    <w:rPr>
      <w:sz w:val="16"/>
      <w:szCs w:val="16"/>
    </w:rPr>
  </w:style>
  <w:style w:type="paragraph" w:styleId="CommentText">
    <w:name w:val="annotation text"/>
    <w:basedOn w:val="Normal"/>
    <w:link w:val="CommentTextChar"/>
    <w:uiPriority w:val="99"/>
    <w:unhideWhenUsed/>
    <w:rsid w:val="004D2BF1"/>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4D2BF1"/>
    <w:rPr>
      <w:sz w:val="20"/>
      <w:szCs w:val="20"/>
    </w:rPr>
  </w:style>
  <w:style w:type="table" w:styleId="TableGrid">
    <w:name w:val="Table Grid"/>
    <w:basedOn w:val="TableNormal"/>
    <w:uiPriority w:val="39"/>
    <w:rsid w:val="006A7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836614"/>
    <w:pPr>
      <w:spacing w:after="0"/>
      <w:ind w:left="806"/>
      <w:contextualSpacing/>
    </w:pPr>
    <w:rPr>
      <w:rFonts w:eastAsia="Times New Roman"/>
      <w:color w:val="000000" w:themeColor="text1"/>
      <w:kern w:val="24"/>
      <w:sz w:val="22"/>
      <w:szCs w:val="22"/>
      <w:lang w:val="en-US"/>
    </w:rPr>
  </w:style>
  <w:style w:type="character" w:customStyle="1" w:styleId="BodyTextIndent3Char">
    <w:name w:val="Body Text Indent 3 Char"/>
    <w:basedOn w:val="DefaultParagraphFont"/>
    <w:link w:val="BodyTextIndent3"/>
    <w:uiPriority w:val="99"/>
    <w:rsid w:val="00836614"/>
    <w:rPr>
      <w:rFonts w:ascii="Arial" w:eastAsia="Times New Roman" w:hAnsi="Arial" w:cs="Arial"/>
      <w:color w:val="000000" w:themeColor="text1"/>
      <w:kern w:val="24"/>
      <w:lang w:val="en-US" w:eastAsia="en-GB"/>
    </w:rPr>
  </w:style>
  <w:style w:type="paragraph" w:styleId="BodyText3">
    <w:name w:val="Body Text 3"/>
    <w:basedOn w:val="Normal"/>
    <w:link w:val="BodyText3Char"/>
    <w:uiPriority w:val="99"/>
    <w:semiHidden/>
    <w:unhideWhenUsed/>
    <w:rsid w:val="00953C16"/>
    <w:pPr>
      <w:spacing w:after="120"/>
    </w:pPr>
    <w:rPr>
      <w:sz w:val="16"/>
      <w:szCs w:val="16"/>
    </w:rPr>
  </w:style>
  <w:style w:type="character" w:customStyle="1" w:styleId="BodyText3Char">
    <w:name w:val="Body Text 3 Char"/>
    <w:basedOn w:val="DefaultParagraphFont"/>
    <w:link w:val="BodyText3"/>
    <w:uiPriority w:val="99"/>
    <w:semiHidden/>
    <w:rsid w:val="00953C16"/>
    <w:rPr>
      <w:rFonts w:ascii="Arial" w:eastAsiaTheme="minorEastAsia" w:hAnsi="Arial" w:cs="Arial"/>
      <w:sz w:val="16"/>
      <w:szCs w:val="16"/>
      <w:lang w:eastAsia="en-GB"/>
    </w:rPr>
  </w:style>
  <w:style w:type="table" w:customStyle="1" w:styleId="TableGrid1">
    <w:name w:val="Table Grid1"/>
    <w:basedOn w:val="TableNormal"/>
    <w:next w:val="TableGrid"/>
    <w:uiPriority w:val="39"/>
    <w:rsid w:val="00953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32316"/>
    <w:rPr>
      <w:rFonts w:ascii="Arial" w:eastAsiaTheme="minorEastAsia" w:hAnsi="Arial" w:cs="Arial"/>
      <w:b/>
      <w:bCs/>
      <w:lang w:eastAsia="en-GB"/>
    </w:rPr>
  </w:style>
  <w:style w:type="character" w:customStyle="1" w:styleId="CommentSubjectChar">
    <w:name w:val="Comment Subject Char"/>
    <w:basedOn w:val="CommentTextChar"/>
    <w:link w:val="CommentSubject"/>
    <w:uiPriority w:val="99"/>
    <w:semiHidden/>
    <w:rsid w:val="00832316"/>
    <w:rPr>
      <w:rFonts w:ascii="Arial" w:eastAsiaTheme="minorEastAsia" w:hAnsi="Arial" w:cs="Arial"/>
      <w:b/>
      <w:bCs/>
      <w:sz w:val="20"/>
      <w:szCs w:val="20"/>
      <w:lang w:eastAsia="en-GB"/>
    </w:rPr>
  </w:style>
  <w:style w:type="paragraph" w:styleId="Revision">
    <w:name w:val="Revision"/>
    <w:hidden/>
    <w:uiPriority w:val="99"/>
    <w:semiHidden/>
    <w:rsid w:val="005C2E4F"/>
    <w:pPr>
      <w:spacing w:after="0" w:line="240" w:lineRule="auto"/>
    </w:pPr>
    <w:rPr>
      <w:rFonts w:ascii="Arial" w:eastAsiaTheme="minorEastAsia" w:hAnsi="Arial" w:cs="Arial"/>
      <w:sz w:val="24"/>
      <w:szCs w:val="24"/>
      <w:lang w:eastAsia="en-GB"/>
    </w:rPr>
  </w:style>
  <w:style w:type="character" w:styleId="FollowedHyperlink">
    <w:name w:val="FollowedHyperlink"/>
    <w:basedOn w:val="DefaultParagraphFont"/>
    <w:uiPriority w:val="99"/>
    <w:semiHidden/>
    <w:unhideWhenUsed/>
    <w:rsid w:val="007146D8"/>
    <w:rPr>
      <w:color w:val="954F72" w:themeColor="followedHyperlink"/>
      <w:u w:val="single"/>
    </w:rPr>
  </w:style>
  <w:style w:type="paragraph" w:styleId="BodyText">
    <w:name w:val="Body Text"/>
    <w:basedOn w:val="Normal"/>
    <w:link w:val="BodyTextChar"/>
    <w:uiPriority w:val="99"/>
    <w:unhideWhenUsed/>
    <w:rsid w:val="00DA3B88"/>
    <w:pPr>
      <w:shd w:val="clear" w:color="auto" w:fill="FFFFFF" w:themeFill="background1"/>
      <w:spacing w:after="0"/>
    </w:pPr>
    <w:rPr>
      <w:rFonts w:eastAsiaTheme="minorHAnsi"/>
      <w:sz w:val="20"/>
      <w:szCs w:val="20"/>
      <w:lang w:eastAsia="en-US"/>
    </w:rPr>
  </w:style>
  <w:style w:type="character" w:customStyle="1" w:styleId="BodyTextChar">
    <w:name w:val="Body Text Char"/>
    <w:basedOn w:val="DefaultParagraphFont"/>
    <w:link w:val="BodyText"/>
    <w:uiPriority w:val="99"/>
    <w:rsid w:val="00DA3B88"/>
    <w:rPr>
      <w:rFonts w:ascii="Arial" w:hAnsi="Arial" w:cs="Arial"/>
      <w:sz w:val="20"/>
      <w:szCs w:val="20"/>
      <w:shd w:val="clear" w:color="auto" w:fill="FFFFFF" w:themeFill="background1"/>
    </w:rPr>
  </w:style>
  <w:style w:type="paragraph" w:styleId="BalloonText">
    <w:name w:val="Balloon Text"/>
    <w:basedOn w:val="Normal"/>
    <w:link w:val="BalloonTextChar"/>
    <w:uiPriority w:val="99"/>
    <w:semiHidden/>
    <w:unhideWhenUsed/>
    <w:rsid w:val="00337E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EE8"/>
    <w:rPr>
      <w:rFonts w:ascii="Segoe UI" w:eastAsiaTheme="minorEastAsia" w:hAnsi="Segoe UI" w:cs="Segoe UI"/>
      <w:sz w:val="18"/>
      <w:szCs w:val="18"/>
      <w:lang w:eastAsia="en-GB"/>
    </w:rPr>
  </w:style>
  <w:style w:type="table" w:styleId="GridTable4-Accent1">
    <w:name w:val="Grid Table 4 Accent 1"/>
    <w:basedOn w:val="TableNormal"/>
    <w:uiPriority w:val="49"/>
    <w:rsid w:val="004A05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DF0AB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Matthew.Quin@towerhalets.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endnotes.xml.rels><?xml version="1.0" encoding="UTF-8" standalone="yes"?>
<Relationships xmlns="http://schemas.openxmlformats.org/package/2006/relationships"><Relationship Id="rId8" Type="http://schemas.openxmlformats.org/officeDocument/2006/relationships/hyperlink" Target="https://fingertips.phe.org.uk/static-reports/health-profile-for-england/hpfe_report.html" TargetMode="External"/><Relationship Id="rId13" Type="http://schemas.openxmlformats.org/officeDocument/2006/relationships/hyperlink" Target="https://fingertips.phe.org.uk/profile/national-child-measurement-programme" TargetMode="External"/><Relationship Id="rId18" Type="http://schemas.openxmlformats.org/officeDocument/2006/relationships/hyperlink" Target="https://www.nhs.uk/live-well/exercise/why-sitting-too-much-is-bad-for-us/" TargetMode="External"/><Relationship Id="rId26" Type="http://schemas.openxmlformats.org/officeDocument/2006/relationships/hyperlink" Target="https://www.gov.uk/government/publications/fast-food-outlets-density-by-local-authority-in-england" TargetMode="External"/><Relationship Id="rId3" Type="http://schemas.openxmlformats.org/officeDocument/2006/relationships/hyperlink" Target="https://assets.publishing.service.gov.uk/government/uploads/system/uploads/attachment_data/file/1005759/NPPF_July_2021.pdf" TargetMode="External"/><Relationship Id="rId21" Type="http://schemas.openxmlformats.org/officeDocument/2006/relationships/hyperlink" Target="https://www.nhs.uk/live-well/exercise/" TargetMode="External"/><Relationship Id="rId7" Type="http://schemas.openxmlformats.org/officeDocument/2006/relationships/hyperlink" Target="https://digital.nhs.uk/data-and-information/publications/statistical/health-survey-for-england/2019" TargetMode="External"/><Relationship Id="rId12" Type="http://schemas.openxmlformats.org/officeDocument/2006/relationships/hyperlink" Target="https://digital.nhs.uk/data-and-information/publications/statistical/health-survey-for-england/2019" TargetMode="External"/><Relationship Id="rId17" Type="http://schemas.openxmlformats.org/officeDocument/2006/relationships/hyperlink" Target="https://www.gov.uk/government/publications/reducing-obesity-future-choices" TargetMode="External"/><Relationship Id="rId25" Type="http://schemas.openxmlformats.org/officeDocument/2006/relationships/hyperlink" Target="https://assets.publishing.service.gov.uk/government/uploads/system/uploads/attachment_data/file/832910/Encouraging_healthier_out_of_home_food_provision_toolkit_for_local_councils.pdf" TargetMode="External"/><Relationship Id="rId2" Type="http://schemas.openxmlformats.org/officeDocument/2006/relationships/hyperlink" Target="https://www.london.gov.uk/sites/default/files/the_london_plan_2021.pdf" TargetMode="External"/><Relationship Id="rId16" Type="http://schemas.openxmlformats.org/officeDocument/2006/relationships/hyperlink" Target="https://publichealthmatters.blog.gov.uk/2016/10/21/obesity-and-the-environment-the-impact-of-fast-food/" TargetMode="External"/><Relationship Id="rId20" Type="http://schemas.openxmlformats.org/officeDocument/2006/relationships/hyperlink" Target="https://www.nhs.uk/conditions/obesity/" TargetMode="External"/><Relationship Id="rId29" Type="http://schemas.openxmlformats.org/officeDocument/2006/relationships/hyperlink" Target="https://www.gov.uk/government/publications/fast-food-outlets-density-by-local-authority-in-england" TargetMode="External"/><Relationship Id="rId1" Type="http://schemas.openxmlformats.org/officeDocument/2006/relationships/hyperlink" Target="https://assets.publishing.service.gov.uk/government/uploads/system/uploads/attachment_data/file/1005759/NPPF_July_2021.pdf" TargetMode="External"/><Relationship Id="rId6" Type="http://schemas.openxmlformats.org/officeDocument/2006/relationships/hyperlink" Target="https://publichealthmatters.blog.gov.uk/2021/03/04/patterns-and-trends-in-excess-weight-among-adults-in-england/" TargetMode="External"/><Relationship Id="rId11" Type="http://schemas.openxmlformats.org/officeDocument/2006/relationships/hyperlink" Target="https://www.gov.uk/government/publications/health-matters-obesity-and-the-food-environment/health-matters-obesity-and-the-food-environment--2" TargetMode="External"/><Relationship Id="rId24" Type="http://schemas.openxmlformats.org/officeDocument/2006/relationships/hyperlink" Target="https://publichealthmatters.blog.gov.uk/2019/08/08/health-matters-addressing-the-food-environment-as-part-of-a-local-whole-systems-approach-to-obesity/" TargetMode="External"/><Relationship Id="rId32" Type="http://schemas.openxmlformats.org/officeDocument/2006/relationships/hyperlink" Target="https://www.gov.uk/government/publications/healthy-high-streets-good-place-making-in-an-urban-setting" TargetMode="External"/><Relationship Id="rId5" Type="http://schemas.openxmlformats.org/officeDocument/2006/relationships/hyperlink" Target="https://www.london.gov.uk/sites/default/files/the_london_plan_2021.pdf" TargetMode="External"/><Relationship Id="rId15" Type="http://schemas.openxmlformats.org/officeDocument/2006/relationships/hyperlink" Target="https://www.cancerresearchuk.org/about-cancer/causes-of-cancer/obesity-weight-and-cancer/what-causes-obesity" TargetMode="External"/><Relationship Id="rId23" Type="http://schemas.openxmlformats.org/officeDocument/2006/relationships/hyperlink" Target="https://fingertips.phe.org.uk/" TargetMode="External"/><Relationship Id="rId28" Type="http://schemas.openxmlformats.org/officeDocument/2006/relationships/hyperlink" Target="https://assets.publishing.service.gov.uk/government/uploads/system/uploads/attachment_data/file/296248/Obesity_and_environment_March2014.pdf" TargetMode="External"/><Relationship Id="rId10" Type="http://schemas.openxmlformats.org/officeDocument/2006/relationships/hyperlink" Target="https://digital.nhs.uk/data-and-information/publications/statistical/statistics-on-obesity-physical-activity-and-diet/england-2021" TargetMode="External"/><Relationship Id="rId19" Type="http://schemas.openxmlformats.org/officeDocument/2006/relationships/hyperlink" Target="https://www.gov.uk/government/collections/national-diet-and-nutrition-survey" TargetMode="External"/><Relationship Id="rId31" Type="http://schemas.openxmlformats.org/officeDocument/2006/relationships/hyperlink" Target="https://www.rsph.org.uk/static/uploaded/5194975e-89a1-4dff-9e8aa68da4836231.pdf" TargetMode="External"/><Relationship Id="rId4" Type="http://schemas.openxmlformats.org/officeDocument/2006/relationships/hyperlink" Target="https://www.london.gov.uk/sites/default/files/the_london_plan_2021.pdf" TargetMode="External"/><Relationship Id="rId9" Type="http://schemas.openxmlformats.org/officeDocument/2006/relationships/hyperlink" Target="https://digital.nhs.uk/data-and-information/publications/statistical/national-child-measurement-programme/2019-20-school-year/ethnicity" TargetMode="External"/><Relationship Id="rId14" Type="http://schemas.openxmlformats.org/officeDocument/2006/relationships/hyperlink" Target="https://www.nhs.uk/conditions/obesity/causes/" TargetMode="External"/><Relationship Id="rId22" Type="http://schemas.openxmlformats.org/officeDocument/2006/relationships/hyperlink" Target="https://www.ethnicity-facts-figures.service.gov.uk/health/diet-and-exercise/physical-activity/latest" TargetMode="External"/><Relationship Id="rId27" Type="http://schemas.openxmlformats.org/officeDocument/2006/relationships/hyperlink" Target="https://doi.org/10.1186/s12966-018-0699-8" TargetMode="External"/><Relationship Id="rId30" Type="http://schemas.openxmlformats.org/officeDocument/2006/relationships/hyperlink" Target="https://www.healthyurbandevelopment.nhs.uk/wp-content/uploads/2013/12/Tackling-the-Takeways-A-New-Policy-to-Address-Fast-Food-Outlets-in-Tower-Hamlets-Sept-201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A5F12"/>
    <w:rsid w:val="00100459"/>
    <w:rsid w:val="002B0EF2"/>
    <w:rsid w:val="003873F8"/>
    <w:rsid w:val="00417A06"/>
    <w:rsid w:val="0048446E"/>
    <w:rsid w:val="005040DA"/>
    <w:rsid w:val="005170DF"/>
    <w:rsid w:val="005C16D3"/>
    <w:rsid w:val="0066769B"/>
    <w:rsid w:val="0067487D"/>
    <w:rsid w:val="007E356B"/>
    <w:rsid w:val="00950EDF"/>
    <w:rsid w:val="009A47B7"/>
    <w:rsid w:val="00A117B4"/>
    <w:rsid w:val="00A24B31"/>
    <w:rsid w:val="00AD4EB6"/>
    <w:rsid w:val="00B32B3B"/>
    <w:rsid w:val="00B57843"/>
    <w:rsid w:val="00BB6FFE"/>
    <w:rsid w:val="00C97B57"/>
    <w:rsid w:val="00D107AD"/>
    <w:rsid w:val="00DC2CCD"/>
    <w:rsid w:val="00DD1C4D"/>
    <w:rsid w:val="00E56051"/>
    <w:rsid w:val="00F851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D5D8574D89F448F1BFD367AD467FF069">
    <w:name w:val="D5D8574D89F448F1BFD367AD467FF069"/>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0f1eab8-3903-44ec-b09e-06dd9dbdfde0">
      <UserInfo>
        <DisplayName>Laurence Carmichael</DisplayName>
        <AccountId>22</AccountId>
        <AccountType/>
      </UserInfo>
    </SharedWithUsers>
    <lcf76f155ced4ddcb4097134ff3c332f xmlns="f22d7286-dd96-43f1-addf-1aa01b239435">
      <Terms xmlns="http://schemas.microsoft.com/office/infopath/2007/PartnerControls"/>
    </lcf76f155ced4ddcb4097134ff3c332f>
    <TaxCatchAll xmlns="c0f1eab8-3903-44ec-b09e-06dd9dbdfde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9" ma:contentTypeDescription="Create a new document." ma:contentTypeScope="" ma:versionID="a74f0431dfb430ccf9168a260e10f805">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7f6af61273a28873bd699e7b51203228"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7c99bb-625f-4332-9e05-e51eafe37df6}" ma:internalName="TaxCatchAll" ma:showField="CatchAllData" ma:web="c0f1eab8-3903-44ec-b09e-06dd9dbdf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B32A46-AF6D-4082-9D88-46C869919E00}">
  <ds:schemaRefs>
    <ds:schemaRef ds:uri="http://schemas.openxmlformats.org/officeDocument/2006/bibliography"/>
  </ds:schemaRefs>
</ds:datastoreItem>
</file>

<file path=customXml/itemProps3.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4.xml><?xml version="1.0" encoding="utf-8"?>
<ds:datastoreItem xmlns:ds="http://schemas.openxmlformats.org/officeDocument/2006/customXml" ds:itemID="{51535BB0-DC53-48EC-828C-DC21853A3766}">
  <ds:schemaRefs>
    <ds:schemaRef ds:uri="http://purl.org/dc/elements/1.1/"/>
    <ds:schemaRef ds:uri="c0f1eab8-3903-44ec-b09e-06dd9dbdfde0"/>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microsoft.com/office/2006/metadata/properties"/>
    <ds:schemaRef ds:uri="f22d7286-dd96-43f1-addf-1aa01b239435"/>
    <ds:schemaRef ds:uri="http://schemas.openxmlformats.org/package/2006/metadata/core-properties"/>
  </ds:schemaRefs>
</ds:datastoreItem>
</file>

<file path=customXml/itemProps5.xml><?xml version="1.0" encoding="utf-8"?>
<ds:datastoreItem xmlns:ds="http://schemas.openxmlformats.org/officeDocument/2006/customXml" ds:itemID="{050720A4-0F12-4FEC-A700-0594497A6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5022</Words>
  <Characters>28627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A5 Hot Food Takeaway Topic Paper</vt:lpstr>
    </vt:vector>
  </TitlesOfParts>
  <Company>Tower Hamlets</Company>
  <LinksUpToDate>false</LinksUpToDate>
  <CharactersWithSpaces>33582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 Food Takeaway Topic Paper</dc:title>
  <dc:subject/>
  <dc:creator>Matthew Quin</dc:creator>
  <cp:keywords/>
  <dc:description/>
  <cp:lastModifiedBy>Phillip Nduoyo</cp:lastModifiedBy>
  <cp:revision>47</cp:revision>
  <cp:lastPrinted>2024-09-16T16:42:00Z</cp:lastPrinted>
  <dcterms:created xsi:type="dcterms:W3CDTF">2023-04-06T09:19:00Z</dcterms:created>
  <dcterms:modified xsi:type="dcterms:W3CDTF">2024-09-19T10:29:00Z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0x010100ACBB0DBABED20646B5BB11340AE54F35</vt:lpwstr>
  </property>
  <property fmtid="{D5CDD505-2E9C-101B-9397-08002B2CF9AE}" pid="3" name="Order">
    <vt:r8>195800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