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B7BB8" w14:textId="77777777" w:rsidR="00D52438" w:rsidRDefault="00D52438" w:rsidP="00DC0AA1">
      <w:pPr>
        <w:pStyle w:val="Title"/>
      </w:pPr>
      <w:r>
        <w:rPr>
          <w:noProof/>
        </w:rPr>
        <w:drawing>
          <wp:anchor distT="0" distB="0" distL="114300" distR="114300" simplePos="0" relativeHeight="251658240" behindDoc="1" locked="0" layoutInCell="1" allowOverlap="1" wp14:anchorId="48693A95" wp14:editId="07F9504E">
            <wp:simplePos x="0" y="0"/>
            <wp:positionH relativeFrom="page">
              <wp:align>left</wp:align>
            </wp:positionH>
            <wp:positionV relativeFrom="paragraph">
              <wp:posOffset>-999548</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p w14:paraId="512636E2" w14:textId="77777777" w:rsidR="00D52438" w:rsidRDefault="00D52438" w:rsidP="00DC0AA1">
      <w:pPr>
        <w:pStyle w:val="Title"/>
      </w:pPr>
    </w:p>
    <w:p w14:paraId="1F9F6255" w14:textId="77777777" w:rsidR="00DC0AA1" w:rsidRPr="00BD0219" w:rsidRDefault="00DC0AA1" w:rsidP="00DC0AA1">
      <w:pPr>
        <w:pStyle w:val="Title"/>
      </w:pPr>
      <w:r>
        <w:t>London Borough of Tower Hamlets</w:t>
      </w:r>
    </w:p>
    <w:p w14:paraId="408C0B67" w14:textId="77777777" w:rsidR="00DC0AA1" w:rsidRPr="00552F80" w:rsidRDefault="00DC0AA1" w:rsidP="00DC0AA1"/>
    <w:p w14:paraId="579E54EB" w14:textId="32D1FD9D" w:rsidR="00DC0AA1" w:rsidRPr="00BD0219" w:rsidRDefault="000D6868" w:rsidP="00DC0AA1">
      <w:pPr>
        <w:pStyle w:val="DocTitle"/>
      </w:pPr>
      <w:r>
        <w:t>Reasonable Adjustments Policy</w:t>
      </w:r>
    </w:p>
    <w:p w14:paraId="702CA7CA" w14:textId="77777777" w:rsidR="00DC0AA1" w:rsidRDefault="00DC0AA1" w:rsidP="00DC0AA1"/>
    <w:tbl>
      <w:tblPr>
        <w:tblStyle w:val="TableGrid"/>
        <w:tblW w:w="0" w:type="auto"/>
        <w:tblLook w:val="04A0" w:firstRow="1" w:lastRow="0" w:firstColumn="1" w:lastColumn="0" w:noHBand="0" w:noVBand="1"/>
      </w:tblPr>
      <w:tblGrid>
        <w:gridCol w:w="8296"/>
      </w:tblGrid>
      <w:tr w:rsidR="00DC0AA1" w:rsidRPr="00FB7D3F" w14:paraId="1113C7C3" w14:textId="77777777" w:rsidTr="00B65CD1">
        <w:tc>
          <w:tcPr>
            <w:tcW w:w="8296" w:type="dxa"/>
          </w:tcPr>
          <w:p w14:paraId="00C51DA6" w14:textId="77777777" w:rsidR="00165F61" w:rsidRPr="00165F61" w:rsidRDefault="00165F61" w:rsidP="00165F61">
            <w:bookmarkStart w:id="0" w:name="_Hlk103025915"/>
            <w:r w:rsidRPr="00EC2D1B">
              <w:t>Policy</w:t>
            </w:r>
          </w:p>
          <w:p w14:paraId="087F274F" w14:textId="77777777" w:rsidR="00DC0AA1" w:rsidRPr="00EC2D1B" w:rsidRDefault="00DC0AA1" w:rsidP="00B65CD1"/>
        </w:tc>
      </w:tr>
      <w:tr w:rsidR="00DC0AA1" w:rsidRPr="00FB7D3F" w14:paraId="331F9FC4" w14:textId="77777777" w:rsidTr="00B65CD1">
        <w:tc>
          <w:tcPr>
            <w:tcW w:w="8296" w:type="dxa"/>
          </w:tcPr>
          <w:p w14:paraId="2CD99B18" w14:textId="71A0FD74" w:rsidR="00DC0AA1" w:rsidRPr="00EC2D1B" w:rsidRDefault="00D2756A" w:rsidP="00B65CD1">
            <w:r>
              <w:t>LBTH</w:t>
            </w:r>
            <w:r w:rsidR="00993CEB" w:rsidRPr="00161AF1">
              <w:t xml:space="preserve"> is committed to ensuring that disabled people are not disadvantaged when accessing our services. This policy has been written in accordance with the Housing </w:t>
            </w:r>
            <w:r w:rsidR="00993CEB" w:rsidRPr="00993CEB">
              <w:t>Ombudsman Service’s Complaint Handling Code and our commitments under the Equality Act 2010.</w:t>
            </w:r>
          </w:p>
        </w:tc>
      </w:tr>
      <w:tr w:rsidR="00330652" w:rsidRPr="00FB7D3F" w14:paraId="126F6FF3" w14:textId="77777777" w:rsidTr="00B54D18">
        <w:trPr>
          <w:trHeight w:val="567"/>
        </w:trPr>
        <w:tc>
          <w:tcPr>
            <w:tcW w:w="8296" w:type="dxa"/>
            <w:shd w:val="clear" w:color="auto" w:fill="D9D9D9" w:themeFill="background1" w:themeFillShade="D9"/>
          </w:tcPr>
          <w:p w14:paraId="5A4E8C76" w14:textId="40BF7486" w:rsidR="00330652" w:rsidRPr="00FE574E" w:rsidRDefault="00330652" w:rsidP="00330652">
            <w:pPr>
              <w:pStyle w:val="BoldNormal"/>
            </w:pPr>
            <w:r>
              <w:t xml:space="preserve">Date edited: </w:t>
            </w:r>
            <w:r w:rsidRPr="00161AF1">
              <w:t>28/07/2022</w:t>
            </w:r>
          </w:p>
        </w:tc>
      </w:tr>
      <w:tr w:rsidR="00330652" w:rsidRPr="00FB7D3F" w14:paraId="24ED998D" w14:textId="77777777" w:rsidTr="0076109D">
        <w:trPr>
          <w:trHeight w:val="567"/>
        </w:trPr>
        <w:tc>
          <w:tcPr>
            <w:tcW w:w="8296" w:type="dxa"/>
            <w:shd w:val="clear" w:color="auto" w:fill="D9D9D9" w:themeFill="background1" w:themeFillShade="D9"/>
          </w:tcPr>
          <w:p w14:paraId="55F14B96" w14:textId="270114F1" w:rsidR="00330652" w:rsidRPr="00145A9A" w:rsidRDefault="00330652" w:rsidP="00330652">
            <w:pPr>
              <w:pStyle w:val="BoldNormal"/>
            </w:pPr>
            <w:r w:rsidRPr="00777D19">
              <w:t>Author:</w:t>
            </w:r>
            <w:r>
              <w:t xml:space="preserve"> Shamima Khatun - Senior Business Development Officer</w:t>
            </w:r>
          </w:p>
        </w:tc>
      </w:tr>
      <w:tr w:rsidR="00330652" w:rsidRPr="00FB7D3F" w14:paraId="26B88517" w14:textId="77777777" w:rsidTr="002D6B3A">
        <w:trPr>
          <w:trHeight w:val="567"/>
        </w:trPr>
        <w:tc>
          <w:tcPr>
            <w:tcW w:w="8296" w:type="dxa"/>
            <w:shd w:val="clear" w:color="auto" w:fill="D9D9D9" w:themeFill="background1" w:themeFillShade="D9"/>
          </w:tcPr>
          <w:p w14:paraId="1062508A" w14:textId="0F115CB5" w:rsidR="00330652" w:rsidRPr="00145A9A" w:rsidRDefault="00330652" w:rsidP="00330652">
            <w:pPr>
              <w:pStyle w:val="BoldNormal"/>
            </w:pPr>
            <w:r w:rsidRPr="00777D19">
              <w:t>Owner:</w:t>
            </w:r>
            <w:r>
              <w:t xml:space="preserve"> Debbie Palmer - Customer Relations Manager</w:t>
            </w:r>
          </w:p>
        </w:tc>
      </w:tr>
      <w:tr w:rsidR="00330652" w:rsidRPr="00FB7D3F" w14:paraId="4F798EFF" w14:textId="77777777" w:rsidTr="009829FA">
        <w:trPr>
          <w:trHeight w:val="567"/>
        </w:trPr>
        <w:tc>
          <w:tcPr>
            <w:tcW w:w="8296" w:type="dxa"/>
            <w:shd w:val="clear" w:color="auto" w:fill="D9D9D9" w:themeFill="background1" w:themeFillShade="D9"/>
          </w:tcPr>
          <w:p w14:paraId="3FE63ECA" w14:textId="3FBA4E57" w:rsidR="00330652" w:rsidRPr="00145A9A" w:rsidRDefault="00330652" w:rsidP="00330652">
            <w:pPr>
              <w:pStyle w:val="BoldNormal"/>
            </w:pPr>
            <w:r w:rsidRPr="00777D19">
              <w:t>Approved by:</w:t>
            </w:r>
            <w:r>
              <w:t xml:space="preserve"> Gulam Hussain - Head of </w:t>
            </w:r>
            <w:r w:rsidRPr="006305AA">
              <w:t xml:space="preserve">Regulatory </w:t>
            </w:r>
            <w:r>
              <w:t>A</w:t>
            </w:r>
            <w:r w:rsidRPr="006305AA">
              <w:t>ssurance</w:t>
            </w:r>
          </w:p>
          <w:p w14:paraId="7D9EC85D" w14:textId="130B9F2D" w:rsidR="00330652" w:rsidRPr="00145A9A" w:rsidRDefault="00330652" w:rsidP="00145A9A">
            <w:r>
              <w:t>28/0</w:t>
            </w:r>
            <w:r w:rsidRPr="009C3F2D">
              <w:t>9/2022</w:t>
            </w:r>
          </w:p>
        </w:tc>
      </w:tr>
      <w:tr w:rsidR="0066455E" w:rsidRPr="00FB7D3F" w14:paraId="0CC78B2D" w14:textId="77777777" w:rsidTr="006F17F5">
        <w:trPr>
          <w:trHeight w:val="567"/>
        </w:trPr>
        <w:tc>
          <w:tcPr>
            <w:tcW w:w="8296" w:type="dxa"/>
            <w:shd w:val="clear" w:color="auto" w:fill="D9D9D9" w:themeFill="background1" w:themeFillShade="D9"/>
          </w:tcPr>
          <w:p w14:paraId="6652AD19" w14:textId="7F262185" w:rsidR="0066455E" w:rsidRPr="00145A9A" w:rsidRDefault="0066455E" w:rsidP="0066455E">
            <w:pPr>
              <w:pStyle w:val="BoldNormal"/>
            </w:pPr>
            <w:r w:rsidRPr="00777D19">
              <w:t>Review cycle:</w:t>
            </w:r>
            <w:r>
              <w:t xml:space="preserve"> 2</w:t>
            </w:r>
            <w:r w:rsidRPr="004A0464">
              <w:t xml:space="preserve"> years</w:t>
            </w:r>
          </w:p>
        </w:tc>
      </w:tr>
      <w:tr w:rsidR="0066455E" w:rsidRPr="00FB7D3F" w14:paraId="340C698B" w14:textId="77777777" w:rsidTr="00CB0F46">
        <w:trPr>
          <w:trHeight w:val="567"/>
        </w:trPr>
        <w:tc>
          <w:tcPr>
            <w:tcW w:w="8296" w:type="dxa"/>
            <w:shd w:val="clear" w:color="auto" w:fill="D9D9D9" w:themeFill="background1" w:themeFillShade="D9"/>
          </w:tcPr>
          <w:p w14:paraId="634DA053" w14:textId="0C4C6187" w:rsidR="0066455E" w:rsidRPr="00145A9A" w:rsidRDefault="0066455E" w:rsidP="0066455E">
            <w:pPr>
              <w:pStyle w:val="BoldNormal"/>
            </w:pPr>
            <w:r w:rsidRPr="00777D19">
              <w:t>Next review date:</w:t>
            </w:r>
            <w:r>
              <w:t xml:space="preserve"> 28/0</w:t>
            </w:r>
            <w:r w:rsidRPr="00AD0CB4">
              <w:t>9/2024</w:t>
            </w:r>
          </w:p>
        </w:tc>
      </w:tr>
      <w:bookmarkEnd w:id="0"/>
    </w:tbl>
    <w:p w14:paraId="5B39C7B8" w14:textId="77777777" w:rsidR="00DC0AA1" w:rsidRDefault="00DC0AA1" w:rsidP="00DC0AA1"/>
    <w:p w14:paraId="52AFCFF5" w14:textId="77777777" w:rsidR="00DC0AA1" w:rsidRPr="00DC0AA1" w:rsidRDefault="00DC0AA1" w:rsidP="00DC0AA1">
      <w:pPr>
        <w:rPr>
          <w:rStyle w:val="Emphasiseitalic"/>
        </w:rPr>
      </w:pPr>
      <w:r>
        <w:br w:type="page"/>
      </w:r>
    </w:p>
    <w:p w14:paraId="3DC9DC58" w14:textId="77777777" w:rsidR="00DC0AA1" w:rsidRDefault="00DC0AA1" w:rsidP="00DC0AA1"/>
    <w:p w14:paraId="0416FCDB" w14:textId="77777777" w:rsidR="00DC0AA1" w:rsidRDefault="00DC0AA1" w:rsidP="00DC0AA1">
      <w:pPr>
        <w:pStyle w:val="BoldNormal"/>
      </w:pPr>
      <w:r w:rsidRPr="00536639">
        <w:t>Regulatory Standards, Legislation and Codes of practice</w:t>
      </w:r>
    </w:p>
    <w:tbl>
      <w:tblPr>
        <w:tblStyle w:val="Table-SideShade"/>
        <w:tblpPr w:leftFromText="180" w:rightFromText="180" w:vertAnchor="text" w:horzAnchor="margin" w:tblpY="314"/>
        <w:tblW w:w="8657" w:type="dxa"/>
        <w:tblLook w:val="04A0" w:firstRow="1" w:lastRow="0" w:firstColumn="1" w:lastColumn="0" w:noHBand="0" w:noVBand="1"/>
      </w:tblPr>
      <w:tblGrid>
        <w:gridCol w:w="2978"/>
        <w:gridCol w:w="5679"/>
      </w:tblGrid>
      <w:tr w:rsidR="00DC0AA1" w:rsidRPr="00DE6AD5" w14:paraId="5E4C33B4" w14:textId="77777777" w:rsidTr="00387221">
        <w:trPr>
          <w:trHeight w:val="413"/>
        </w:trPr>
        <w:tc>
          <w:tcPr>
            <w:cnfStyle w:val="001000000000" w:firstRow="0" w:lastRow="0" w:firstColumn="1" w:lastColumn="0" w:oddVBand="0" w:evenVBand="0" w:oddHBand="0" w:evenHBand="0" w:firstRowFirstColumn="0" w:firstRowLastColumn="0" w:lastRowFirstColumn="0" w:lastRowLastColumn="0"/>
            <w:tcW w:w="2978" w:type="dxa"/>
          </w:tcPr>
          <w:p w14:paraId="00EF0BB8" w14:textId="77777777" w:rsidR="00DC0AA1" w:rsidRPr="00FE574E" w:rsidRDefault="00DC0AA1" w:rsidP="00B65CD1">
            <w:pPr>
              <w:pStyle w:val="BoldNormal"/>
            </w:pPr>
            <w:r w:rsidRPr="00777D19">
              <w:t>Regulator:</w:t>
            </w:r>
          </w:p>
        </w:tc>
        <w:tc>
          <w:tcPr>
            <w:tcW w:w="5679" w:type="dxa"/>
          </w:tcPr>
          <w:p w14:paraId="6DA1411F" w14:textId="5F58CBA8" w:rsidR="00DC0AA1" w:rsidRPr="00777D19" w:rsidRDefault="0081350B" w:rsidP="00DB3315">
            <w:pPr>
              <w:cnfStyle w:val="000000000000" w:firstRow="0" w:lastRow="0" w:firstColumn="0" w:lastColumn="0" w:oddVBand="0" w:evenVBand="0" w:oddHBand="0" w:evenHBand="0" w:firstRowFirstColumn="0" w:firstRowLastColumn="0" w:lastRowFirstColumn="0" w:lastRowLastColumn="0"/>
            </w:pPr>
            <w:r w:rsidRPr="00CE3A37">
              <w:t xml:space="preserve">The Regulator for Social Housing’s </w:t>
            </w:r>
            <w:r w:rsidRPr="0081350B">
              <w:t>framework and standards</w:t>
            </w:r>
            <w:r w:rsidRPr="0081350B">
              <w:br/>
              <w:t xml:space="preserve">- </w:t>
            </w:r>
            <w:r>
              <w:t>Tra</w:t>
            </w:r>
            <w:r w:rsidR="00E0009E">
              <w:t>nsparency, Influence &amp; Accountability Standard</w:t>
            </w:r>
          </w:p>
        </w:tc>
      </w:tr>
      <w:tr w:rsidR="00DC0AA1" w:rsidRPr="00DE6AD5" w14:paraId="6A4E7B24"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2C6865EC" w14:textId="77777777" w:rsidR="00DC0AA1" w:rsidRPr="00FE574E" w:rsidRDefault="00DC0AA1" w:rsidP="00B65CD1">
            <w:pPr>
              <w:pStyle w:val="BoldNormal"/>
            </w:pPr>
            <w:r w:rsidRPr="00777D19">
              <w:t>Legislation:</w:t>
            </w:r>
          </w:p>
        </w:tc>
        <w:tc>
          <w:tcPr>
            <w:tcW w:w="5679" w:type="dxa"/>
          </w:tcPr>
          <w:p w14:paraId="07F42059" w14:textId="77777777" w:rsidR="00DC0AA1" w:rsidRDefault="00E0009E" w:rsidP="00B65CD1">
            <w:pPr>
              <w:cnfStyle w:val="000000000000" w:firstRow="0" w:lastRow="0" w:firstColumn="0" w:lastColumn="0" w:oddVBand="0" w:evenVBand="0" w:oddHBand="0" w:evenHBand="0" w:firstRowFirstColumn="0" w:firstRowLastColumn="0" w:lastRowFirstColumn="0" w:lastRowLastColumn="0"/>
            </w:pPr>
            <w:r>
              <w:t>Social Housing (Regulation) Act 2023</w:t>
            </w:r>
          </w:p>
          <w:p w14:paraId="3C1AC6EE" w14:textId="14BE0AAF" w:rsidR="00E0009E" w:rsidRPr="00777D19" w:rsidRDefault="00997522" w:rsidP="00B65CD1">
            <w:pPr>
              <w:cnfStyle w:val="000000000000" w:firstRow="0" w:lastRow="0" w:firstColumn="0" w:lastColumn="0" w:oddVBand="0" w:evenVBand="0" w:oddHBand="0" w:evenHBand="0" w:firstRowFirstColumn="0" w:firstRowLastColumn="0" w:lastRowFirstColumn="0" w:lastRowLastColumn="0"/>
            </w:pPr>
            <w:r>
              <w:t>Equality Act</w:t>
            </w:r>
            <w:r w:rsidR="00E0009E">
              <w:t xml:space="preserve"> 2010</w:t>
            </w:r>
          </w:p>
        </w:tc>
      </w:tr>
      <w:tr w:rsidR="00DC0AA1" w:rsidRPr="00DE6AD5" w14:paraId="09A59709"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5FD6F662" w14:textId="77777777" w:rsidR="00DC0AA1" w:rsidRPr="00FE574E" w:rsidRDefault="00DC0AA1" w:rsidP="00B65CD1">
            <w:pPr>
              <w:pStyle w:val="BoldNormal"/>
            </w:pPr>
            <w:r w:rsidRPr="00777D19">
              <w:t>Codes of practice:</w:t>
            </w:r>
          </w:p>
        </w:tc>
        <w:tc>
          <w:tcPr>
            <w:tcW w:w="5679" w:type="dxa"/>
          </w:tcPr>
          <w:p w14:paraId="096E1448" w14:textId="77777777" w:rsidR="00E0009E" w:rsidRDefault="00E0009E" w:rsidP="00B65CD1">
            <w:pPr>
              <w:cnfStyle w:val="000000000000" w:firstRow="0" w:lastRow="0" w:firstColumn="0" w:lastColumn="0" w:oddVBand="0" w:evenVBand="0" w:oddHBand="0" w:evenHBand="0" w:firstRowFirstColumn="0" w:firstRowLastColumn="0" w:lastRowFirstColumn="0" w:lastRowLastColumn="0"/>
            </w:pPr>
            <w:r>
              <w:t xml:space="preserve">Housing Ombudsman </w:t>
            </w:r>
            <w:r w:rsidR="00456218">
              <w:t>Complaints Handling Code</w:t>
            </w:r>
          </w:p>
          <w:p w14:paraId="54B6F36E" w14:textId="0E24911F" w:rsidR="00E0009E" w:rsidRPr="00777D19" w:rsidRDefault="00E0009E" w:rsidP="00B65CD1">
            <w:pPr>
              <w:cnfStyle w:val="000000000000" w:firstRow="0" w:lastRow="0" w:firstColumn="0" w:lastColumn="0" w:oddVBand="0" w:evenVBand="0" w:oddHBand="0" w:evenHBand="0" w:firstRowFirstColumn="0" w:firstRowLastColumn="0" w:lastRowFirstColumn="0" w:lastRowLastColumn="0"/>
            </w:pPr>
            <w:r>
              <w:t>Public Sector Equality Duty</w:t>
            </w:r>
          </w:p>
        </w:tc>
      </w:tr>
      <w:tr w:rsidR="00DC0AA1" w:rsidRPr="00DE6AD5" w14:paraId="43EC53FE"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309FE01B" w14:textId="77777777" w:rsidR="00DC0AA1" w:rsidRPr="00FE574E" w:rsidRDefault="00DC0AA1" w:rsidP="00B65CD1">
            <w:pPr>
              <w:pStyle w:val="BoldNormal"/>
            </w:pPr>
            <w:r w:rsidRPr="00777D19">
              <w:t>The policy also operates in the context of:</w:t>
            </w:r>
          </w:p>
        </w:tc>
        <w:tc>
          <w:tcPr>
            <w:tcW w:w="5679" w:type="dxa"/>
          </w:tcPr>
          <w:p w14:paraId="1DD8C192" w14:textId="77777777" w:rsidR="00DC0AA1" w:rsidRDefault="00E0009E" w:rsidP="00B65CD1">
            <w:pPr>
              <w:cnfStyle w:val="000000000000" w:firstRow="0" w:lastRow="0" w:firstColumn="0" w:lastColumn="0" w:oddVBand="0" w:evenVBand="0" w:oddHBand="0" w:evenHBand="0" w:firstRowFirstColumn="0" w:firstRowLastColumn="0" w:lastRowFirstColumn="0" w:lastRowLastColumn="0"/>
            </w:pPr>
            <w:r>
              <w:t>Complaints Policy</w:t>
            </w:r>
          </w:p>
          <w:p w14:paraId="00652941" w14:textId="272E7C99" w:rsidR="00E0009E" w:rsidRPr="00777D19" w:rsidRDefault="00E0009E" w:rsidP="00B65CD1">
            <w:pPr>
              <w:cnfStyle w:val="000000000000" w:firstRow="0" w:lastRow="0" w:firstColumn="0" w:lastColumn="0" w:oddVBand="0" w:evenVBand="0" w:oddHBand="0" w:evenHBand="0" w:firstRowFirstColumn="0" w:firstRowLastColumn="0" w:lastRowFirstColumn="0" w:lastRowLastColumn="0"/>
            </w:pPr>
            <w:r>
              <w:t>Redress Policy</w:t>
            </w:r>
          </w:p>
        </w:tc>
      </w:tr>
    </w:tbl>
    <w:p w14:paraId="5C5F05A6" w14:textId="77777777" w:rsidR="00DC0AA1" w:rsidRDefault="00DC0AA1" w:rsidP="00DC0AA1"/>
    <w:p w14:paraId="44689961" w14:textId="77777777" w:rsidR="00DC0AA1" w:rsidRDefault="00387221" w:rsidP="00387221">
      <w:pPr>
        <w:tabs>
          <w:tab w:val="left" w:pos="1545"/>
        </w:tabs>
      </w:pPr>
      <w:r>
        <w:tab/>
      </w:r>
    </w:p>
    <w:p w14:paraId="7BD1038A" w14:textId="77777777" w:rsidR="00DC0AA1" w:rsidRDefault="00DC0AA1" w:rsidP="00DC0AA1">
      <w:pPr>
        <w:pStyle w:val="CentreNormal"/>
        <w:jc w:val="left"/>
      </w:pPr>
      <w:r>
        <w:br w:type="page"/>
      </w:r>
    </w:p>
    <w:sdt>
      <w:sdtPr>
        <w:rPr>
          <w:rFonts w:eastAsiaTheme="minorHAnsi"/>
          <w:b w:val="0"/>
          <w:color w:val="000000" w:themeColor="text1"/>
          <w:sz w:val="24"/>
          <w:lang w:val="en-GB"/>
        </w:rPr>
        <w:id w:val="730502372"/>
        <w:docPartObj>
          <w:docPartGallery w:val="Table of Contents"/>
          <w:docPartUnique/>
        </w:docPartObj>
      </w:sdtPr>
      <w:sdtEndPr>
        <w:rPr>
          <w:bCs/>
          <w:noProof/>
        </w:rPr>
      </w:sdtEndPr>
      <w:sdtContent>
        <w:p w14:paraId="1C81B527" w14:textId="77777777" w:rsidR="00DC0AA1" w:rsidRDefault="00DC0AA1" w:rsidP="00DC0AA1">
          <w:pPr>
            <w:pStyle w:val="TOCHeading"/>
          </w:pPr>
          <w:r>
            <w:t>Contents</w:t>
          </w:r>
        </w:p>
        <w:p w14:paraId="62C07E93" w14:textId="7AB9722B" w:rsidR="009279CB" w:rsidRDefault="00DC0AA1">
          <w:pPr>
            <w:pStyle w:val="TOC1"/>
            <w:rPr>
              <w:rFonts w:asciiTheme="minorHAnsi" w:eastAsiaTheme="minorEastAsia" w:hAnsiTheme="minorHAnsi" w:cstheme="minorBidi"/>
              <w:color w:val="auto"/>
              <w:kern w:val="2"/>
              <w:szCs w:val="24"/>
              <w:lang w:eastAsia="en-GB"/>
              <w14:ligatures w14:val="standardContextual"/>
            </w:rPr>
          </w:pPr>
          <w:r>
            <w:fldChar w:fldCharType="begin"/>
          </w:r>
          <w:r>
            <w:instrText xml:space="preserve"> TOC \o "1-3" \h \z \u </w:instrText>
          </w:r>
          <w:r>
            <w:fldChar w:fldCharType="separate"/>
          </w:r>
          <w:hyperlink w:anchor="_Toc182400896" w:history="1">
            <w:r w:rsidR="009279CB" w:rsidRPr="007A463E">
              <w:rPr>
                <w:rStyle w:val="Hyperlink"/>
              </w:rPr>
              <w:t>1.</w:t>
            </w:r>
            <w:r w:rsidR="009279CB">
              <w:rPr>
                <w:rFonts w:asciiTheme="minorHAnsi" w:eastAsiaTheme="minorEastAsia" w:hAnsiTheme="minorHAnsi" w:cstheme="minorBidi"/>
                <w:color w:val="auto"/>
                <w:kern w:val="2"/>
                <w:szCs w:val="24"/>
                <w:lang w:eastAsia="en-GB"/>
                <w14:ligatures w14:val="standardContextual"/>
              </w:rPr>
              <w:tab/>
            </w:r>
            <w:r w:rsidR="009279CB" w:rsidRPr="007A463E">
              <w:rPr>
                <w:rStyle w:val="Hyperlink"/>
              </w:rPr>
              <w:t>Purpose</w:t>
            </w:r>
            <w:r w:rsidR="009279CB">
              <w:rPr>
                <w:webHidden/>
              </w:rPr>
              <w:tab/>
            </w:r>
            <w:r w:rsidR="009279CB">
              <w:rPr>
                <w:webHidden/>
              </w:rPr>
              <w:fldChar w:fldCharType="begin"/>
            </w:r>
            <w:r w:rsidR="009279CB">
              <w:rPr>
                <w:webHidden/>
              </w:rPr>
              <w:instrText xml:space="preserve"> PAGEREF _Toc182400896 \h </w:instrText>
            </w:r>
            <w:r w:rsidR="009279CB">
              <w:rPr>
                <w:webHidden/>
              </w:rPr>
            </w:r>
            <w:r w:rsidR="009279CB">
              <w:rPr>
                <w:webHidden/>
              </w:rPr>
              <w:fldChar w:fldCharType="separate"/>
            </w:r>
            <w:r w:rsidR="00AC545B">
              <w:rPr>
                <w:webHidden/>
              </w:rPr>
              <w:t>4</w:t>
            </w:r>
            <w:r w:rsidR="009279CB">
              <w:rPr>
                <w:webHidden/>
              </w:rPr>
              <w:fldChar w:fldCharType="end"/>
            </w:r>
          </w:hyperlink>
        </w:p>
        <w:p w14:paraId="0DC4AB24" w14:textId="4F2DC087" w:rsidR="009279CB" w:rsidRDefault="009279CB">
          <w:pPr>
            <w:pStyle w:val="TOC1"/>
            <w:rPr>
              <w:rFonts w:asciiTheme="minorHAnsi" w:eastAsiaTheme="minorEastAsia" w:hAnsiTheme="minorHAnsi" w:cstheme="minorBidi"/>
              <w:color w:val="auto"/>
              <w:kern w:val="2"/>
              <w:szCs w:val="24"/>
              <w:lang w:eastAsia="en-GB"/>
              <w14:ligatures w14:val="standardContextual"/>
            </w:rPr>
          </w:pPr>
          <w:hyperlink w:anchor="_Toc182400897" w:history="1">
            <w:r w:rsidRPr="007A463E">
              <w:rPr>
                <w:rStyle w:val="Hyperlink"/>
              </w:rPr>
              <w:t>2.</w:t>
            </w:r>
            <w:r>
              <w:rPr>
                <w:rFonts w:asciiTheme="minorHAnsi" w:eastAsiaTheme="minorEastAsia" w:hAnsiTheme="minorHAnsi" w:cstheme="minorBidi"/>
                <w:color w:val="auto"/>
                <w:kern w:val="2"/>
                <w:szCs w:val="24"/>
                <w:lang w:eastAsia="en-GB"/>
                <w14:ligatures w14:val="standardContextual"/>
              </w:rPr>
              <w:tab/>
            </w:r>
            <w:r w:rsidRPr="007A463E">
              <w:rPr>
                <w:rStyle w:val="Hyperlink"/>
              </w:rPr>
              <w:t>Equality Act 2010</w:t>
            </w:r>
            <w:r>
              <w:rPr>
                <w:webHidden/>
              </w:rPr>
              <w:tab/>
            </w:r>
            <w:r>
              <w:rPr>
                <w:webHidden/>
              </w:rPr>
              <w:fldChar w:fldCharType="begin"/>
            </w:r>
            <w:r>
              <w:rPr>
                <w:webHidden/>
              </w:rPr>
              <w:instrText xml:space="preserve"> PAGEREF _Toc182400897 \h </w:instrText>
            </w:r>
            <w:r>
              <w:rPr>
                <w:webHidden/>
              </w:rPr>
            </w:r>
            <w:r>
              <w:rPr>
                <w:webHidden/>
              </w:rPr>
              <w:fldChar w:fldCharType="separate"/>
            </w:r>
            <w:r w:rsidR="00AC545B">
              <w:rPr>
                <w:webHidden/>
              </w:rPr>
              <w:t>4</w:t>
            </w:r>
            <w:r>
              <w:rPr>
                <w:webHidden/>
              </w:rPr>
              <w:fldChar w:fldCharType="end"/>
            </w:r>
          </w:hyperlink>
        </w:p>
        <w:p w14:paraId="4CE64078" w14:textId="12FE9AF2" w:rsidR="009279CB" w:rsidRDefault="009279CB">
          <w:pPr>
            <w:pStyle w:val="TOC1"/>
            <w:rPr>
              <w:rFonts w:asciiTheme="minorHAnsi" w:eastAsiaTheme="minorEastAsia" w:hAnsiTheme="minorHAnsi" w:cstheme="minorBidi"/>
              <w:color w:val="auto"/>
              <w:kern w:val="2"/>
              <w:szCs w:val="24"/>
              <w:lang w:eastAsia="en-GB"/>
              <w14:ligatures w14:val="standardContextual"/>
            </w:rPr>
          </w:pPr>
          <w:hyperlink w:anchor="_Toc182400898" w:history="1">
            <w:r w:rsidRPr="007A463E">
              <w:rPr>
                <w:rStyle w:val="Hyperlink"/>
              </w:rPr>
              <w:t>3.</w:t>
            </w:r>
            <w:r>
              <w:rPr>
                <w:rFonts w:asciiTheme="minorHAnsi" w:eastAsiaTheme="minorEastAsia" w:hAnsiTheme="minorHAnsi" w:cstheme="minorBidi"/>
                <w:color w:val="auto"/>
                <w:kern w:val="2"/>
                <w:szCs w:val="24"/>
                <w:lang w:eastAsia="en-GB"/>
                <w14:ligatures w14:val="standardContextual"/>
              </w:rPr>
              <w:tab/>
            </w:r>
            <w:r w:rsidRPr="007A463E">
              <w:rPr>
                <w:rStyle w:val="Hyperlink"/>
              </w:rPr>
              <w:t>What is a reasonable adjustment?</w:t>
            </w:r>
            <w:r>
              <w:rPr>
                <w:webHidden/>
              </w:rPr>
              <w:tab/>
            </w:r>
            <w:r>
              <w:rPr>
                <w:webHidden/>
              </w:rPr>
              <w:fldChar w:fldCharType="begin"/>
            </w:r>
            <w:r>
              <w:rPr>
                <w:webHidden/>
              </w:rPr>
              <w:instrText xml:space="preserve"> PAGEREF _Toc182400898 \h </w:instrText>
            </w:r>
            <w:r>
              <w:rPr>
                <w:webHidden/>
              </w:rPr>
            </w:r>
            <w:r>
              <w:rPr>
                <w:webHidden/>
              </w:rPr>
              <w:fldChar w:fldCharType="separate"/>
            </w:r>
            <w:r w:rsidR="00AC545B">
              <w:rPr>
                <w:webHidden/>
              </w:rPr>
              <w:t>4</w:t>
            </w:r>
            <w:r>
              <w:rPr>
                <w:webHidden/>
              </w:rPr>
              <w:fldChar w:fldCharType="end"/>
            </w:r>
          </w:hyperlink>
        </w:p>
        <w:p w14:paraId="384424DE" w14:textId="0A3F1AF3" w:rsidR="009279CB" w:rsidRDefault="009279CB">
          <w:pPr>
            <w:pStyle w:val="TOC2"/>
            <w:rPr>
              <w:rFonts w:asciiTheme="minorHAnsi" w:eastAsiaTheme="minorEastAsia" w:hAnsiTheme="minorHAnsi" w:cstheme="minorBidi"/>
              <w:color w:val="auto"/>
              <w:kern w:val="2"/>
              <w:szCs w:val="24"/>
              <w:lang w:eastAsia="en-GB"/>
              <w14:ligatures w14:val="standardContextual"/>
            </w:rPr>
          </w:pPr>
          <w:hyperlink w:anchor="_Toc182400899" w:history="1">
            <w:r w:rsidRPr="007A463E">
              <w:rPr>
                <w:rStyle w:val="Hyperlink"/>
              </w:rPr>
              <w:t>3.1 Adjustments that will be considered</w:t>
            </w:r>
            <w:r>
              <w:rPr>
                <w:webHidden/>
              </w:rPr>
              <w:tab/>
            </w:r>
            <w:r>
              <w:rPr>
                <w:webHidden/>
              </w:rPr>
              <w:fldChar w:fldCharType="begin"/>
            </w:r>
            <w:r>
              <w:rPr>
                <w:webHidden/>
              </w:rPr>
              <w:instrText xml:space="preserve"> PAGEREF _Toc182400899 \h </w:instrText>
            </w:r>
            <w:r>
              <w:rPr>
                <w:webHidden/>
              </w:rPr>
            </w:r>
            <w:r>
              <w:rPr>
                <w:webHidden/>
              </w:rPr>
              <w:fldChar w:fldCharType="separate"/>
            </w:r>
            <w:r w:rsidR="00AC545B">
              <w:rPr>
                <w:webHidden/>
              </w:rPr>
              <w:t>5</w:t>
            </w:r>
            <w:r>
              <w:rPr>
                <w:webHidden/>
              </w:rPr>
              <w:fldChar w:fldCharType="end"/>
            </w:r>
          </w:hyperlink>
        </w:p>
        <w:p w14:paraId="29473A5B" w14:textId="4E183044" w:rsidR="009279CB" w:rsidRDefault="009279CB">
          <w:pPr>
            <w:pStyle w:val="TOC1"/>
            <w:rPr>
              <w:rFonts w:asciiTheme="minorHAnsi" w:eastAsiaTheme="minorEastAsia" w:hAnsiTheme="minorHAnsi" w:cstheme="minorBidi"/>
              <w:color w:val="auto"/>
              <w:kern w:val="2"/>
              <w:szCs w:val="24"/>
              <w:lang w:eastAsia="en-GB"/>
              <w14:ligatures w14:val="standardContextual"/>
            </w:rPr>
          </w:pPr>
          <w:hyperlink w:anchor="_Toc182400900" w:history="1">
            <w:r w:rsidRPr="007A463E">
              <w:rPr>
                <w:rStyle w:val="Hyperlink"/>
              </w:rPr>
              <w:t>4.</w:t>
            </w:r>
            <w:r>
              <w:rPr>
                <w:rFonts w:asciiTheme="minorHAnsi" w:eastAsiaTheme="minorEastAsia" w:hAnsiTheme="minorHAnsi" w:cstheme="minorBidi"/>
                <w:color w:val="auto"/>
                <w:kern w:val="2"/>
                <w:szCs w:val="24"/>
                <w:lang w:eastAsia="en-GB"/>
                <w14:ligatures w14:val="standardContextual"/>
              </w:rPr>
              <w:tab/>
            </w:r>
            <w:r w:rsidRPr="007A463E">
              <w:rPr>
                <w:rStyle w:val="Hyperlink"/>
              </w:rPr>
              <w:t>Equality impact assessments</w:t>
            </w:r>
            <w:r>
              <w:rPr>
                <w:webHidden/>
              </w:rPr>
              <w:tab/>
            </w:r>
            <w:r>
              <w:rPr>
                <w:webHidden/>
              </w:rPr>
              <w:fldChar w:fldCharType="begin"/>
            </w:r>
            <w:r>
              <w:rPr>
                <w:webHidden/>
              </w:rPr>
              <w:instrText xml:space="preserve"> PAGEREF _Toc182400900 \h </w:instrText>
            </w:r>
            <w:r>
              <w:rPr>
                <w:webHidden/>
              </w:rPr>
            </w:r>
            <w:r>
              <w:rPr>
                <w:webHidden/>
              </w:rPr>
              <w:fldChar w:fldCharType="separate"/>
            </w:r>
            <w:r w:rsidR="00AC545B">
              <w:rPr>
                <w:webHidden/>
              </w:rPr>
              <w:t>5</w:t>
            </w:r>
            <w:r>
              <w:rPr>
                <w:webHidden/>
              </w:rPr>
              <w:fldChar w:fldCharType="end"/>
            </w:r>
          </w:hyperlink>
        </w:p>
        <w:p w14:paraId="2C968981" w14:textId="5DA0132E" w:rsidR="009279CB" w:rsidRDefault="009279CB">
          <w:pPr>
            <w:pStyle w:val="TOC1"/>
            <w:rPr>
              <w:rFonts w:asciiTheme="minorHAnsi" w:eastAsiaTheme="minorEastAsia" w:hAnsiTheme="minorHAnsi" w:cstheme="minorBidi"/>
              <w:color w:val="auto"/>
              <w:kern w:val="2"/>
              <w:szCs w:val="24"/>
              <w:lang w:eastAsia="en-GB"/>
              <w14:ligatures w14:val="standardContextual"/>
            </w:rPr>
          </w:pPr>
          <w:hyperlink w:anchor="_Toc182400901" w:history="1">
            <w:r w:rsidRPr="007A463E">
              <w:rPr>
                <w:rStyle w:val="Hyperlink"/>
              </w:rPr>
              <w:t>5.</w:t>
            </w:r>
            <w:r>
              <w:rPr>
                <w:rFonts w:asciiTheme="minorHAnsi" w:eastAsiaTheme="minorEastAsia" w:hAnsiTheme="minorHAnsi" w:cstheme="minorBidi"/>
                <w:color w:val="auto"/>
                <w:kern w:val="2"/>
                <w:szCs w:val="24"/>
                <w:lang w:eastAsia="en-GB"/>
                <w14:ligatures w14:val="standardContextual"/>
              </w:rPr>
              <w:tab/>
            </w:r>
            <w:r w:rsidRPr="007A463E">
              <w:rPr>
                <w:rStyle w:val="Hyperlink"/>
              </w:rPr>
              <w:t>Appeals</w:t>
            </w:r>
            <w:r>
              <w:rPr>
                <w:webHidden/>
              </w:rPr>
              <w:tab/>
            </w:r>
            <w:r>
              <w:rPr>
                <w:webHidden/>
              </w:rPr>
              <w:fldChar w:fldCharType="begin"/>
            </w:r>
            <w:r>
              <w:rPr>
                <w:webHidden/>
              </w:rPr>
              <w:instrText xml:space="preserve"> PAGEREF _Toc182400901 \h </w:instrText>
            </w:r>
            <w:r>
              <w:rPr>
                <w:webHidden/>
              </w:rPr>
            </w:r>
            <w:r>
              <w:rPr>
                <w:webHidden/>
              </w:rPr>
              <w:fldChar w:fldCharType="separate"/>
            </w:r>
            <w:r w:rsidR="00AC545B">
              <w:rPr>
                <w:webHidden/>
              </w:rPr>
              <w:t>6</w:t>
            </w:r>
            <w:r>
              <w:rPr>
                <w:webHidden/>
              </w:rPr>
              <w:fldChar w:fldCharType="end"/>
            </w:r>
          </w:hyperlink>
        </w:p>
        <w:p w14:paraId="2625E88A" w14:textId="3EBED24E" w:rsidR="009279CB" w:rsidRDefault="009279CB">
          <w:pPr>
            <w:pStyle w:val="TOC1"/>
            <w:rPr>
              <w:rFonts w:asciiTheme="minorHAnsi" w:eastAsiaTheme="minorEastAsia" w:hAnsiTheme="minorHAnsi" w:cstheme="minorBidi"/>
              <w:color w:val="auto"/>
              <w:kern w:val="2"/>
              <w:szCs w:val="24"/>
              <w:lang w:eastAsia="en-GB"/>
              <w14:ligatures w14:val="standardContextual"/>
            </w:rPr>
          </w:pPr>
          <w:hyperlink w:anchor="_Toc182400902" w:history="1">
            <w:r w:rsidRPr="007A463E">
              <w:rPr>
                <w:rStyle w:val="Hyperlink"/>
              </w:rPr>
              <w:t>6.</w:t>
            </w:r>
            <w:r>
              <w:rPr>
                <w:rFonts w:asciiTheme="minorHAnsi" w:eastAsiaTheme="minorEastAsia" w:hAnsiTheme="minorHAnsi" w:cstheme="minorBidi"/>
                <w:color w:val="auto"/>
                <w:kern w:val="2"/>
                <w:szCs w:val="24"/>
                <w:lang w:eastAsia="en-GB"/>
                <w14:ligatures w14:val="standardContextual"/>
              </w:rPr>
              <w:tab/>
            </w:r>
            <w:r w:rsidRPr="007A463E">
              <w:rPr>
                <w:rStyle w:val="Hyperlink"/>
              </w:rPr>
              <w:t>Review</w:t>
            </w:r>
            <w:r>
              <w:rPr>
                <w:webHidden/>
              </w:rPr>
              <w:tab/>
            </w:r>
            <w:r>
              <w:rPr>
                <w:webHidden/>
              </w:rPr>
              <w:fldChar w:fldCharType="begin"/>
            </w:r>
            <w:r>
              <w:rPr>
                <w:webHidden/>
              </w:rPr>
              <w:instrText xml:space="preserve"> PAGEREF _Toc182400902 \h </w:instrText>
            </w:r>
            <w:r>
              <w:rPr>
                <w:webHidden/>
              </w:rPr>
            </w:r>
            <w:r>
              <w:rPr>
                <w:webHidden/>
              </w:rPr>
              <w:fldChar w:fldCharType="separate"/>
            </w:r>
            <w:r w:rsidR="00AC545B">
              <w:rPr>
                <w:webHidden/>
              </w:rPr>
              <w:t>6</w:t>
            </w:r>
            <w:r>
              <w:rPr>
                <w:webHidden/>
              </w:rPr>
              <w:fldChar w:fldCharType="end"/>
            </w:r>
          </w:hyperlink>
        </w:p>
        <w:p w14:paraId="7BB3B7D4" w14:textId="1756C556" w:rsidR="00DC0AA1" w:rsidRDefault="00DC0AA1" w:rsidP="00DC0AA1">
          <w:r>
            <w:rPr>
              <w:b/>
              <w:bCs/>
              <w:noProof/>
            </w:rPr>
            <w:fldChar w:fldCharType="end"/>
          </w:r>
        </w:p>
      </w:sdtContent>
    </w:sdt>
    <w:p w14:paraId="38A03188" w14:textId="77777777" w:rsidR="00DC0AA1" w:rsidRPr="002926FB" w:rsidRDefault="00DC0AA1" w:rsidP="00DC1BF1">
      <w:r>
        <w:br w:type="page"/>
      </w:r>
    </w:p>
    <w:p w14:paraId="28675E9A" w14:textId="77777777" w:rsidR="004927C5" w:rsidRPr="004C4DA1" w:rsidRDefault="004927C5" w:rsidP="004927C5">
      <w:pPr>
        <w:pStyle w:val="Heading1"/>
      </w:pPr>
      <w:bookmarkStart w:id="1" w:name="_Toc117256353"/>
      <w:bookmarkStart w:id="2" w:name="_Toc182400896"/>
      <w:r>
        <w:lastRenderedPageBreak/>
        <w:t>Purpose</w:t>
      </w:r>
      <w:bookmarkEnd w:id="1"/>
      <w:bookmarkEnd w:id="2"/>
    </w:p>
    <w:p w14:paraId="20A4F152" w14:textId="53B722C7" w:rsidR="004927C5" w:rsidRPr="00CE3A37" w:rsidRDefault="00B829E0" w:rsidP="004927C5">
      <w:r>
        <w:t>London Borough of Tower Hamlets (LBTH)</w:t>
      </w:r>
      <w:r w:rsidR="004927C5" w:rsidRPr="00CE3A37">
        <w:t xml:space="preserve"> is committed to ensuring that disabled people are not disadvantaged when accessing our services. This policy has been written in accordance with the Housing Ombudsman Service’s Complaint Handling Code and our commitments under the Equality Act 2010. </w:t>
      </w:r>
    </w:p>
    <w:p w14:paraId="72CA932E" w14:textId="77777777" w:rsidR="004927C5" w:rsidRPr="00CE3A37" w:rsidRDefault="004927C5" w:rsidP="004927C5">
      <w:r w:rsidRPr="00CE3A37">
        <w:t>The Regulator of Social Housing’s Tenant Involvement and Empowerment Standard, requires us to ‘provide choices, information and communication that is appropriate to the diverse needs of tenants’ and ‘demonstrate that (we) understand the different needs of tenants, including in relation to the equality strands and tenants with additional support needs’.</w:t>
      </w:r>
    </w:p>
    <w:p w14:paraId="607D34FC" w14:textId="77777777" w:rsidR="004927C5" w:rsidRPr="00CE3A37" w:rsidRDefault="004927C5" w:rsidP="004927C5">
      <w:r w:rsidRPr="00CE3A37">
        <w:t>This policy does not aim to explain how we will approach every situation. It is intended as a general statement of our commitment to improving accessibility for all our customers and confirms the following:</w:t>
      </w:r>
    </w:p>
    <w:p w14:paraId="3E668954" w14:textId="77777777" w:rsidR="004927C5" w:rsidRPr="00CE3A37" w:rsidRDefault="004927C5" w:rsidP="004927C5">
      <w:pPr>
        <w:pStyle w:val="ListBullet"/>
      </w:pPr>
      <w:r w:rsidRPr="00CE3A37">
        <w:t>Definition of what a ‘reasonable adjustment’ is</w:t>
      </w:r>
    </w:p>
    <w:p w14:paraId="7EAF36ED" w14:textId="77777777" w:rsidR="004927C5" w:rsidRPr="00CE3A37" w:rsidRDefault="004927C5" w:rsidP="004927C5">
      <w:pPr>
        <w:pStyle w:val="ListBullet"/>
      </w:pPr>
      <w:r w:rsidRPr="00CE3A37">
        <w:t>Sets out the principles of our commitment to provide reasonable adjustments for customers who require them</w:t>
      </w:r>
    </w:p>
    <w:p w14:paraId="22DB1304" w14:textId="77777777" w:rsidR="004927C5" w:rsidRPr="00CE3A37" w:rsidRDefault="004927C5" w:rsidP="004927C5">
      <w:pPr>
        <w:pStyle w:val="ListBullet"/>
      </w:pPr>
      <w:r w:rsidRPr="00CE3A37">
        <w:t>Reasonable adjustments to our complaints process</w:t>
      </w:r>
    </w:p>
    <w:p w14:paraId="4975501A" w14:textId="313CCD51" w:rsidR="004927C5" w:rsidRPr="00CE3A37" w:rsidRDefault="004927C5" w:rsidP="004927C5">
      <w:pPr>
        <w:pStyle w:val="ListBullet"/>
      </w:pPr>
      <w:r w:rsidRPr="00CE3A37">
        <w:t xml:space="preserve">Explains how customers can appeal if they do not agree with </w:t>
      </w:r>
      <w:r w:rsidR="00B829E0">
        <w:t>LBTH</w:t>
      </w:r>
      <w:r w:rsidRPr="00CE3A37">
        <w:t>’s decision relating to their circumstances</w:t>
      </w:r>
      <w:r w:rsidR="006A1025">
        <w:t>.</w:t>
      </w:r>
    </w:p>
    <w:p w14:paraId="662E8FA1" w14:textId="3501BCF6" w:rsidR="004927C5" w:rsidRDefault="004927C5" w:rsidP="004927C5">
      <w:r w:rsidRPr="00CE3A37">
        <w:t>Many of the adjustments we offer to our services can also be made available to our customers without disabilities.</w:t>
      </w:r>
    </w:p>
    <w:p w14:paraId="42725CB9" w14:textId="77777777" w:rsidR="005D36D2" w:rsidRPr="00777D19" w:rsidRDefault="005D36D2" w:rsidP="004927C5"/>
    <w:p w14:paraId="2348FB7E" w14:textId="77777777" w:rsidR="004927C5" w:rsidRPr="00644A3E" w:rsidRDefault="004927C5" w:rsidP="004927C5">
      <w:pPr>
        <w:pStyle w:val="Heading1"/>
      </w:pPr>
      <w:bookmarkStart w:id="3" w:name="_Toc117256354"/>
      <w:bookmarkStart w:id="4" w:name="_Toc182400897"/>
      <w:r>
        <w:t>Equality Act 2010</w:t>
      </w:r>
      <w:bookmarkEnd w:id="3"/>
      <w:bookmarkEnd w:id="4"/>
    </w:p>
    <w:p w14:paraId="41E4C8BF" w14:textId="77777777" w:rsidR="004927C5" w:rsidRPr="00644A3E" w:rsidRDefault="004927C5" w:rsidP="004927C5">
      <w:r w:rsidRPr="00644A3E">
        <w:t>Under the Equality Act 2010 (the Act) a person is considered as having a disability if they have a physical or mental impairment that has a ‘substantial’ and ‘long term’ negative effect on their ability to carry out normal day-to-day activities.</w:t>
      </w:r>
    </w:p>
    <w:p w14:paraId="00F6152B" w14:textId="37260F24" w:rsidR="004927C5" w:rsidRPr="00644A3E" w:rsidRDefault="004927C5" w:rsidP="004927C5">
      <w:r w:rsidRPr="00644A3E">
        <w:t xml:space="preserve">The Act provides a legislative framework to protect the rights of individuals and to advance opportunity for all. As a provider of public services, </w:t>
      </w:r>
      <w:r w:rsidR="00B829E0">
        <w:t>LBTH</w:t>
      </w:r>
      <w:r w:rsidRPr="00644A3E">
        <w:t xml:space="preserve"> has a legal duty to make adjustments in the following three areas:</w:t>
      </w:r>
    </w:p>
    <w:p w14:paraId="7B96B48F" w14:textId="77777777" w:rsidR="004927C5" w:rsidRPr="00644A3E" w:rsidRDefault="004927C5" w:rsidP="004927C5">
      <w:pPr>
        <w:pStyle w:val="ListBullet"/>
      </w:pPr>
      <w:r w:rsidRPr="00644A3E">
        <w:t>When changing a policy, procedure, or practice</w:t>
      </w:r>
    </w:p>
    <w:p w14:paraId="5F99DD04" w14:textId="77777777" w:rsidR="004927C5" w:rsidRPr="00644A3E" w:rsidRDefault="004927C5" w:rsidP="004927C5">
      <w:pPr>
        <w:pStyle w:val="ListBullet"/>
      </w:pPr>
      <w:r w:rsidRPr="00644A3E">
        <w:t>Where a physical feature puts a person with a disability at a substantial disadvantage in comparison with persons who are not disabled</w:t>
      </w:r>
    </w:p>
    <w:p w14:paraId="2CC0CCA1" w14:textId="032EB0AF" w:rsidR="004927C5" w:rsidRDefault="004927C5" w:rsidP="004927C5">
      <w:pPr>
        <w:pStyle w:val="ListBullet"/>
      </w:pPr>
      <w:r w:rsidRPr="00644A3E">
        <w:t>Where a person with a disability, without the provision of an additional aid or service, be put at a substantial disadvantage in comparison with persons who are not disabled</w:t>
      </w:r>
      <w:r w:rsidR="006A1025">
        <w:t>.</w:t>
      </w:r>
    </w:p>
    <w:p w14:paraId="3A9F54B0" w14:textId="77777777" w:rsidR="005D36D2" w:rsidRDefault="005D36D2" w:rsidP="005D36D2">
      <w:pPr>
        <w:pStyle w:val="ListBullet"/>
        <w:numPr>
          <w:ilvl w:val="0"/>
          <w:numId w:val="0"/>
        </w:numPr>
      </w:pPr>
    </w:p>
    <w:p w14:paraId="7B76FEB9" w14:textId="77777777" w:rsidR="004927C5" w:rsidRPr="008B155C" w:rsidRDefault="004927C5" w:rsidP="004927C5">
      <w:pPr>
        <w:pStyle w:val="Heading1"/>
      </w:pPr>
      <w:bookmarkStart w:id="5" w:name="_Toc117256355"/>
      <w:bookmarkStart w:id="6" w:name="_Toc182400898"/>
      <w:r>
        <w:t>What is a reasonable adjustment?</w:t>
      </w:r>
      <w:bookmarkEnd w:id="5"/>
      <w:bookmarkEnd w:id="6"/>
    </w:p>
    <w:p w14:paraId="1F16EEED" w14:textId="77777777" w:rsidR="004927C5" w:rsidRPr="00644A3E" w:rsidRDefault="004927C5" w:rsidP="004927C5">
      <w:r w:rsidRPr="00644A3E">
        <w:t xml:space="preserve">Reasonable adjustments are changes that organisations and people providing services or public functions must make for you if your disability puts you at a disadvantage compared with others who are not disabled. </w:t>
      </w:r>
    </w:p>
    <w:p w14:paraId="4DD8CD58" w14:textId="77777777" w:rsidR="004927C5" w:rsidRPr="00644A3E" w:rsidRDefault="004927C5" w:rsidP="004927C5">
      <w:r w:rsidRPr="00644A3E">
        <w:lastRenderedPageBreak/>
        <w:t>A reasonable adjustment may be a physical alteration to one of our premises, for example, fitting a lift or a ramp. It is not possible to produce an exhaustive list of reasonable adjustments since this can only be determined in relation to a specific set of circumstances.</w:t>
      </w:r>
    </w:p>
    <w:p w14:paraId="114A7B3E" w14:textId="77777777" w:rsidR="004927C5" w:rsidRPr="00644A3E" w:rsidRDefault="004927C5" w:rsidP="004927C5">
      <w:r w:rsidRPr="00644A3E">
        <w:t>The Equality Act’s Code of Practice suggests the following considerations when we decide whether an adjustment is ‘reasonable’ or not:</w:t>
      </w:r>
    </w:p>
    <w:p w14:paraId="7166BDEE" w14:textId="6312E1A9" w:rsidR="004927C5" w:rsidRPr="00644A3E" w:rsidRDefault="004927C5" w:rsidP="004927C5">
      <w:pPr>
        <w:pStyle w:val="ListBullet"/>
      </w:pPr>
      <w:r w:rsidRPr="00644A3E">
        <w:t>How effective the adjustment(s) will be in assisting with a customer with a disability and in preventing or reducing the possibility of them being at a disadvantage</w:t>
      </w:r>
    </w:p>
    <w:p w14:paraId="0D914D73" w14:textId="6667F1F3" w:rsidR="004927C5" w:rsidRPr="00644A3E" w:rsidRDefault="004927C5" w:rsidP="004927C5">
      <w:pPr>
        <w:pStyle w:val="ListBullet"/>
      </w:pPr>
      <w:r w:rsidRPr="00644A3E">
        <w:t>The practicability of the adjustment(s)</w:t>
      </w:r>
    </w:p>
    <w:p w14:paraId="1A54DD2B" w14:textId="3C91DAB3" w:rsidR="004927C5" w:rsidRPr="00644A3E" w:rsidRDefault="004927C5" w:rsidP="004927C5">
      <w:pPr>
        <w:pStyle w:val="ListBullet"/>
      </w:pPr>
      <w:r w:rsidRPr="00644A3E">
        <w:t xml:space="preserve">The cost (financial and other) of the adjustment(s) and whether this is possible within </w:t>
      </w:r>
      <w:r w:rsidR="00B829E0">
        <w:t>LBTH</w:t>
      </w:r>
      <w:r w:rsidRPr="00644A3E">
        <w:t xml:space="preserve"> resources; and</w:t>
      </w:r>
    </w:p>
    <w:p w14:paraId="44B56A6D" w14:textId="77777777" w:rsidR="004927C5" w:rsidRPr="00644A3E" w:rsidRDefault="004927C5" w:rsidP="004927C5">
      <w:pPr>
        <w:pStyle w:val="ListBullet"/>
      </w:pPr>
      <w:r w:rsidRPr="00644A3E">
        <w:t>Any disruption to the service that making the adjustment(s) may cause.</w:t>
      </w:r>
    </w:p>
    <w:p w14:paraId="40BD2EDC" w14:textId="734C04E0" w:rsidR="004927C5" w:rsidRDefault="004927C5" w:rsidP="00630D95">
      <w:r w:rsidRPr="00644A3E">
        <w:t xml:space="preserve">In the situation where we are unable to make a reasonable adjustment due to cost or resources, </w:t>
      </w:r>
      <w:r w:rsidR="00B829E0">
        <w:t>LBTH</w:t>
      </w:r>
      <w:r w:rsidRPr="00644A3E">
        <w:t xml:space="preserve"> will work together with the customer to find the most appropriate alternative solution for them</w:t>
      </w:r>
      <w:r w:rsidR="00E13C88" w:rsidRPr="00644A3E">
        <w:t xml:space="preserve">. </w:t>
      </w:r>
    </w:p>
    <w:p w14:paraId="34BB9027" w14:textId="77777777" w:rsidR="004927C5" w:rsidRPr="00330652" w:rsidRDefault="004927C5" w:rsidP="00330652">
      <w:pPr>
        <w:pStyle w:val="Heading2"/>
      </w:pPr>
      <w:bookmarkStart w:id="7" w:name="_Toc117256356"/>
      <w:bookmarkStart w:id="8" w:name="_Toc182400899"/>
      <w:r w:rsidRPr="00330652">
        <w:t>3.1 Adjustments that will be considered</w:t>
      </w:r>
      <w:bookmarkEnd w:id="7"/>
      <w:bookmarkEnd w:id="8"/>
    </w:p>
    <w:p w14:paraId="1A960708" w14:textId="2DB4D6EF" w:rsidR="004927C5" w:rsidRPr="00644A3E" w:rsidRDefault="00B829E0" w:rsidP="004927C5">
      <w:r>
        <w:t>LBTH</w:t>
      </w:r>
      <w:r w:rsidR="004927C5" w:rsidRPr="00644A3E">
        <w:t xml:space="preserve"> will make reasonable adjustments to our complaints service where necessary to ensure customers with a disability are not at a disadvantage when accessing the service.</w:t>
      </w:r>
    </w:p>
    <w:p w14:paraId="08986FBD" w14:textId="77777777" w:rsidR="004927C5" w:rsidRPr="00644A3E" w:rsidRDefault="004927C5" w:rsidP="004927C5">
      <w:r w:rsidRPr="00644A3E">
        <w:t>Examples of the reasonable adjustments we will make are:</w:t>
      </w:r>
    </w:p>
    <w:p w14:paraId="5B03511E" w14:textId="77777777" w:rsidR="004927C5" w:rsidRPr="00644A3E" w:rsidRDefault="004927C5" w:rsidP="004927C5">
      <w:pPr>
        <w:pStyle w:val="ListBullet"/>
      </w:pPr>
      <w:r w:rsidRPr="00644A3E">
        <w:t>Extension of any time limits (where it is lawful to do so)</w:t>
      </w:r>
    </w:p>
    <w:p w14:paraId="294BD33A" w14:textId="77777777" w:rsidR="004927C5" w:rsidRPr="00644A3E" w:rsidRDefault="004927C5" w:rsidP="004927C5">
      <w:pPr>
        <w:pStyle w:val="ListBullet"/>
      </w:pPr>
      <w:r w:rsidRPr="00644A3E">
        <w:t>Provide information in alternative formats, for example, large print, Braille or on coloured paper</w:t>
      </w:r>
    </w:p>
    <w:p w14:paraId="5CF31E0D" w14:textId="77777777" w:rsidR="004927C5" w:rsidRPr="00644A3E" w:rsidRDefault="004927C5" w:rsidP="004927C5">
      <w:pPr>
        <w:pStyle w:val="ListBullet"/>
      </w:pPr>
      <w:r w:rsidRPr="00644A3E">
        <w:t>Using the customer’s communication preference throughout the duration of the complaint</w:t>
      </w:r>
    </w:p>
    <w:p w14:paraId="75D4CB96" w14:textId="0745287B" w:rsidR="004927C5" w:rsidRPr="00644A3E" w:rsidRDefault="004927C5" w:rsidP="004927C5">
      <w:pPr>
        <w:pStyle w:val="ListBullet"/>
      </w:pPr>
      <w:r w:rsidRPr="00644A3E">
        <w:t>Dealing with a family member or representative (if you have given us permission to do so)</w:t>
      </w:r>
      <w:r w:rsidR="006A1025">
        <w:t>.</w:t>
      </w:r>
    </w:p>
    <w:p w14:paraId="7F9324C9" w14:textId="77777777" w:rsidR="004927C5" w:rsidRPr="00644A3E" w:rsidRDefault="004927C5" w:rsidP="004927C5">
      <w:r w:rsidRPr="00644A3E">
        <w:t>In some instances, we may provide reasonable adjustments for customers who do not have a disability but may have a special need or circumstance. Examples are:</w:t>
      </w:r>
    </w:p>
    <w:p w14:paraId="4AF7376B" w14:textId="77777777" w:rsidR="004927C5" w:rsidRPr="00644A3E" w:rsidRDefault="004927C5" w:rsidP="004927C5">
      <w:pPr>
        <w:pStyle w:val="ListBullet"/>
      </w:pPr>
      <w:r w:rsidRPr="00644A3E">
        <w:t>Providing translation or interpreting services for customers whose first language is not English</w:t>
      </w:r>
    </w:p>
    <w:p w14:paraId="0915DC37" w14:textId="488B6E42" w:rsidR="004927C5" w:rsidRDefault="004927C5" w:rsidP="004927C5">
      <w:pPr>
        <w:pStyle w:val="ListBullet"/>
      </w:pPr>
      <w:r w:rsidRPr="00644A3E">
        <w:t>Providing additional support for customers with literacy problems</w:t>
      </w:r>
      <w:r w:rsidR="005D36D2">
        <w:t>.</w:t>
      </w:r>
    </w:p>
    <w:p w14:paraId="68F298F0" w14:textId="77777777" w:rsidR="005D36D2" w:rsidRPr="00644A3E" w:rsidRDefault="005D36D2" w:rsidP="005D36D2">
      <w:pPr>
        <w:pStyle w:val="ListBullet"/>
        <w:numPr>
          <w:ilvl w:val="0"/>
          <w:numId w:val="0"/>
        </w:numPr>
      </w:pPr>
    </w:p>
    <w:p w14:paraId="26ADE361" w14:textId="77777777" w:rsidR="004927C5" w:rsidRDefault="004927C5" w:rsidP="004927C5">
      <w:pPr>
        <w:pStyle w:val="Heading1"/>
      </w:pPr>
      <w:bookmarkStart w:id="9" w:name="_Toc117256357"/>
      <w:bookmarkStart w:id="10" w:name="_Toc182400900"/>
      <w:r>
        <w:t>Equality impact assessments</w:t>
      </w:r>
      <w:bookmarkEnd w:id="9"/>
      <w:bookmarkEnd w:id="10"/>
    </w:p>
    <w:p w14:paraId="1BDC7C1A" w14:textId="3000FF52" w:rsidR="004927C5" w:rsidRDefault="004927C5" w:rsidP="00630D95">
      <w:r w:rsidRPr="00644A3E">
        <w:t>We complete an equality impact assessment each time we develop or review a policy, procedure, or service. The assessment is to help us make sure our decision making is fair and does not present any barrier or disadvantage to any customer from a protected group under the Equality Act 2010.</w:t>
      </w:r>
    </w:p>
    <w:p w14:paraId="7491B6E7" w14:textId="77777777" w:rsidR="004927C5" w:rsidRPr="008B155C" w:rsidRDefault="004927C5" w:rsidP="004927C5">
      <w:pPr>
        <w:pStyle w:val="Heading1"/>
      </w:pPr>
      <w:bookmarkStart w:id="11" w:name="_Toc117256358"/>
      <w:bookmarkStart w:id="12" w:name="_Toc182400901"/>
      <w:r>
        <w:lastRenderedPageBreak/>
        <w:t>Appeals</w:t>
      </w:r>
      <w:bookmarkEnd w:id="11"/>
      <w:bookmarkEnd w:id="12"/>
    </w:p>
    <w:p w14:paraId="1522A45F" w14:textId="40BCF974" w:rsidR="004927C5" w:rsidRPr="008B155C" w:rsidRDefault="004927C5" w:rsidP="004927C5">
      <w:r w:rsidRPr="008B155C">
        <w:t xml:space="preserve">If a customer is dissatisfied with the arrangements or decisions made by </w:t>
      </w:r>
      <w:r w:rsidR="00B829E0">
        <w:t>LBTH</w:t>
      </w:r>
      <w:r w:rsidRPr="008B155C">
        <w:t xml:space="preserve"> in relation to a reasonable adjustment, they can appeal by visiting the ‘Compliments, comments and complaints’ section on our website which provides more detail.</w:t>
      </w:r>
    </w:p>
    <w:p w14:paraId="6D088C14" w14:textId="77777777" w:rsidR="004927C5" w:rsidRPr="008B155C" w:rsidRDefault="004927C5" w:rsidP="004927C5"/>
    <w:p w14:paraId="7BF2C49D" w14:textId="77777777" w:rsidR="004927C5" w:rsidRPr="008B155C" w:rsidRDefault="004927C5" w:rsidP="004927C5">
      <w:pPr>
        <w:pStyle w:val="Heading1"/>
      </w:pPr>
      <w:bookmarkStart w:id="13" w:name="_Toc117256359"/>
      <w:bookmarkStart w:id="14" w:name="_Toc182400902"/>
      <w:r>
        <w:t>Review</w:t>
      </w:r>
      <w:bookmarkEnd w:id="13"/>
      <w:bookmarkEnd w:id="14"/>
    </w:p>
    <w:p w14:paraId="2B6DA3DD" w14:textId="77777777" w:rsidR="004927C5" w:rsidRPr="004927C5" w:rsidRDefault="004927C5" w:rsidP="004927C5">
      <w:r w:rsidRPr="008B155C">
        <w:t>We will review this policy every two years, when necessary for business reasons, and whenever there are changes to legislation, regulations, or best practice.</w:t>
      </w:r>
    </w:p>
    <w:p w14:paraId="28340D42" w14:textId="77777777" w:rsidR="004927C5" w:rsidRDefault="004927C5" w:rsidP="00630D95">
      <w:pPr>
        <w:pStyle w:val="NumberList"/>
        <w:numPr>
          <w:ilvl w:val="0"/>
          <w:numId w:val="0"/>
        </w:numPr>
        <w:ind w:left="720"/>
      </w:pPr>
    </w:p>
    <w:p w14:paraId="347D5D18" w14:textId="77777777" w:rsidR="00387221" w:rsidRPr="00E2160C" w:rsidRDefault="00387221" w:rsidP="00630D95">
      <w:pPr>
        <w:pStyle w:val="Heading1"/>
        <w:numPr>
          <w:ilvl w:val="0"/>
          <w:numId w:val="0"/>
        </w:numPr>
        <w:ind w:left="357"/>
      </w:pPr>
    </w:p>
    <w:sectPr w:rsidR="00387221" w:rsidRPr="00E2160C" w:rsidSect="00FC741A">
      <w:headerReference w:type="even" r:id="rId11"/>
      <w:headerReference w:type="default" r:id="rId12"/>
      <w:footerReference w:type="default" r:id="rId13"/>
      <w:headerReference w:type="first" r:id="rId14"/>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DBE11" w14:textId="77777777" w:rsidR="00A152E6" w:rsidRDefault="00A152E6" w:rsidP="00DC0AA1">
      <w:pPr>
        <w:spacing w:after="0"/>
      </w:pPr>
      <w:r>
        <w:separator/>
      </w:r>
    </w:p>
  </w:endnote>
  <w:endnote w:type="continuationSeparator" w:id="0">
    <w:p w14:paraId="2F3A63D2" w14:textId="77777777" w:rsidR="00A152E6" w:rsidRDefault="00A152E6" w:rsidP="00DC0AA1">
      <w:pPr>
        <w:spacing w:after="0"/>
      </w:pPr>
      <w:r>
        <w:continuationSeparator/>
      </w:r>
    </w:p>
  </w:endnote>
  <w:endnote w:type="continuationNotice" w:id="1">
    <w:p w14:paraId="1957DEE8" w14:textId="77777777" w:rsidR="00A152E6" w:rsidRDefault="00A152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D979" w14:textId="272ED932" w:rsidR="00316ED1" w:rsidRPr="00931C93" w:rsidRDefault="00D2756A" w:rsidP="007C32E3">
    <w:pPr>
      <w:pStyle w:val="Footer"/>
    </w:pPr>
    <w:r>
      <w:t>Re</w:t>
    </w:r>
    <w:r w:rsidR="008B55B4">
      <w:t>asonable Adjustments Policy</w:t>
    </w:r>
    <w:r>
      <w:tab/>
    </w:r>
    <w:r w:rsidR="00DC0AA1" w:rsidRPr="00931C93">
      <w:tab/>
      <w:t xml:space="preserve">Page </w:t>
    </w:r>
    <w:r w:rsidR="00DC0AA1" w:rsidRPr="00931C93">
      <w:fldChar w:fldCharType="begin"/>
    </w:r>
    <w:r w:rsidR="00DC0AA1" w:rsidRPr="00931C93">
      <w:instrText xml:space="preserve"> PAGE  \* Arabic  \* MERGEFORMAT </w:instrText>
    </w:r>
    <w:r w:rsidR="00DC0AA1" w:rsidRPr="00931C93">
      <w:fldChar w:fldCharType="separate"/>
    </w:r>
    <w:r w:rsidR="00DC0AA1" w:rsidRPr="00931C93">
      <w:t>1</w:t>
    </w:r>
    <w:r w:rsidR="00DC0AA1" w:rsidRPr="00931C93">
      <w:fldChar w:fldCharType="end"/>
    </w:r>
    <w:r w:rsidR="00DC0AA1" w:rsidRPr="00931C93">
      <w:t xml:space="preserve"> of </w:t>
    </w:r>
    <w:fldSimple w:instr=" NUMPAGES  \* Arabic  \* MERGEFORMAT ">
      <w:r w:rsidR="00DC0AA1" w:rsidRPr="00931C93">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584CE" w14:textId="77777777" w:rsidR="00A152E6" w:rsidRDefault="00A152E6" w:rsidP="00DC0AA1">
      <w:pPr>
        <w:spacing w:after="0"/>
      </w:pPr>
      <w:r>
        <w:separator/>
      </w:r>
    </w:p>
  </w:footnote>
  <w:footnote w:type="continuationSeparator" w:id="0">
    <w:p w14:paraId="3E8D069F" w14:textId="77777777" w:rsidR="00A152E6" w:rsidRDefault="00A152E6" w:rsidP="00DC0AA1">
      <w:pPr>
        <w:spacing w:after="0"/>
      </w:pPr>
      <w:r>
        <w:continuationSeparator/>
      </w:r>
    </w:p>
  </w:footnote>
  <w:footnote w:type="continuationNotice" w:id="1">
    <w:p w14:paraId="1B1BEDD7" w14:textId="77777777" w:rsidR="00A152E6" w:rsidRDefault="00A152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2CAF" w14:textId="77777777" w:rsidR="00316ED1" w:rsidRDefault="00316ED1">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18C0" w14:textId="77777777" w:rsidR="00316ED1" w:rsidRPr="00777D19" w:rsidRDefault="00316ED1" w:rsidP="00777D19"/>
  <w:p w14:paraId="116167ED" w14:textId="77777777" w:rsidR="00316ED1" w:rsidRDefault="00316ED1" w:rsidP="00FE57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E489F" w14:textId="77777777" w:rsidR="00316ED1" w:rsidRDefault="00316ED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2B08E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7B145A"/>
    <w:multiLevelType w:val="multilevel"/>
    <w:tmpl w:val="EA183A78"/>
    <w:lvl w:ilvl="0">
      <w:start w:val="1"/>
      <w:numFmt w:val="decimal"/>
      <w:pStyle w:val="Heading1"/>
      <w:lvlText w:val="%1."/>
      <w:lvlJc w:val="left"/>
      <w:pPr>
        <w:ind w:left="360" w:hanging="360"/>
      </w:pPr>
      <w:rPr>
        <w:rFonts w:hint="default"/>
        <w:b/>
        <w:sz w:val="28"/>
        <w:szCs w:val="36"/>
      </w:rPr>
    </w:lvl>
    <w:lvl w:ilvl="1">
      <w:start w:val="1"/>
      <w:numFmt w:val="decimal"/>
      <w:lvlText w:val="%1.%2"/>
      <w:lvlJc w:val="left"/>
      <w:pPr>
        <w:ind w:left="1021" w:hanging="1021"/>
      </w:pPr>
      <w:rPr>
        <w:rFonts w:ascii="Arial" w:hAnsi="Arial" w:cs="Arial" w:hint="default"/>
        <w:sz w:val="24"/>
        <w:szCs w:val="28"/>
      </w:rPr>
    </w:lvl>
    <w:lvl w:ilvl="2">
      <w:start w:val="1"/>
      <w:numFmt w:val="decimal"/>
      <w:lvlText w:val="%1.%2.%3"/>
      <w:lvlJc w:val="left"/>
      <w:pPr>
        <w:ind w:left="1021" w:hanging="1021"/>
      </w:pPr>
      <w:rPr>
        <w:rFonts w:ascii="Calibri" w:hAnsi="Calibri" w:hint="default"/>
        <w:sz w:val="22"/>
      </w:rPr>
    </w:lvl>
    <w:lvl w:ilvl="3">
      <w:start w:val="1"/>
      <w:numFmt w:val="decimal"/>
      <w:lvlText w:val="%1.%2.%3.%4"/>
      <w:lvlJc w:val="left"/>
      <w:pPr>
        <w:ind w:left="1021" w:hanging="1021"/>
      </w:pPr>
      <w:rPr>
        <w:rFonts w:ascii="Calibri" w:hAnsi="Calibri" w:hint="default"/>
        <w:sz w:val="22"/>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 w15:restartNumberingAfterBreak="0">
    <w:nsid w:val="30184FEE"/>
    <w:multiLevelType w:val="hybridMultilevel"/>
    <w:tmpl w:val="677457DA"/>
    <w:lvl w:ilvl="0" w:tplc="98B83FCA">
      <w:start w:val="1"/>
      <w:numFmt w:val="lowerRoman"/>
      <w:pStyle w:val="RomanNumerals"/>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5578E"/>
    <w:multiLevelType w:val="hybridMultilevel"/>
    <w:tmpl w:val="30C0A596"/>
    <w:lvl w:ilvl="0" w:tplc="DF2C48BC">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10225D"/>
    <w:multiLevelType w:val="hybridMultilevel"/>
    <w:tmpl w:val="5C7465FE"/>
    <w:lvl w:ilvl="0" w:tplc="23E2F7F0">
      <w:start w:val="1"/>
      <w:numFmt w:val="lowerLetter"/>
      <w:pStyle w:val="a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960777">
    <w:abstractNumId w:val="1"/>
  </w:num>
  <w:num w:numId="2" w16cid:durableId="1705208553">
    <w:abstractNumId w:val="0"/>
  </w:num>
  <w:num w:numId="3" w16cid:durableId="748619934">
    <w:abstractNumId w:val="2"/>
  </w:num>
  <w:num w:numId="4" w16cid:durableId="1175612746">
    <w:abstractNumId w:val="4"/>
  </w:num>
  <w:num w:numId="5" w16cid:durableId="15075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styleLockTheme/>
  <w:styleLockQFSet/>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95"/>
    <w:rsid w:val="000136AA"/>
    <w:rsid w:val="00046510"/>
    <w:rsid w:val="000543FE"/>
    <w:rsid w:val="00073844"/>
    <w:rsid w:val="000D6868"/>
    <w:rsid w:val="00111E04"/>
    <w:rsid w:val="00145A9A"/>
    <w:rsid w:val="00164CC8"/>
    <w:rsid w:val="00165F61"/>
    <w:rsid w:val="00184E27"/>
    <w:rsid w:val="001E04FD"/>
    <w:rsid w:val="00294EE3"/>
    <w:rsid w:val="00316ED1"/>
    <w:rsid w:val="00330652"/>
    <w:rsid w:val="00387221"/>
    <w:rsid w:val="003A1621"/>
    <w:rsid w:val="003A20E1"/>
    <w:rsid w:val="00405D9E"/>
    <w:rsid w:val="00417866"/>
    <w:rsid w:val="004243FD"/>
    <w:rsid w:val="00456218"/>
    <w:rsid w:val="004927C5"/>
    <w:rsid w:val="004A0464"/>
    <w:rsid w:val="004A49B3"/>
    <w:rsid w:val="004E4BBC"/>
    <w:rsid w:val="0054164F"/>
    <w:rsid w:val="0058019A"/>
    <w:rsid w:val="005D36D2"/>
    <w:rsid w:val="006305AA"/>
    <w:rsid w:val="00630D95"/>
    <w:rsid w:val="00641A05"/>
    <w:rsid w:val="0066455E"/>
    <w:rsid w:val="006A1025"/>
    <w:rsid w:val="006B7A79"/>
    <w:rsid w:val="006D0B1A"/>
    <w:rsid w:val="00725958"/>
    <w:rsid w:val="007C7D5E"/>
    <w:rsid w:val="007D40BD"/>
    <w:rsid w:val="0081350B"/>
    <w:rsid w:val="008572FF"/>
    <w:rsid w:val="0087387B"/>
    <w:rsid w:val="00873A6A"/>
    <w:rsid w:val="008B55B4"/>
    <w:rsid w:val="009279CB"/>
    <w:rsid w:val="0094468E"/>
    <w:rsid w:val="009571CE"/>
    <w:rsid w:val="00973C9D"/>
    <w:rsid w:val="009874B2"/>
    <w:rsid w:val="00993CEB"/>
    <w:rsid w:val="00997522"/>
    <w:rsid w:val="009C3F2D"/>
    <w:rsid w:val="00A152E6"/>
    <w:rsid w:val="00A42952"/>
    <w:rsid w:val="00AC44AA"/>
    <w:rsid w:val="00AC545B"/>
    <w:rsid w:val="00AD0CB4"/>
    <w:rsid w:val="00AE3D55"/>
    <w:rsid w:val="00AF5567"/>
    <w:rsid w:val="00B20B7F"/>
    <w:rsid w:val="00B267ED"/>
    <w:rsid w:val="00B829E0"/>
    <w:rsid w:val="00BC222D"/>
    <w:rsid w:val="00BD2267"/>
    <w:rsid w:val="00C244A0"/>
    <w:rsid w:val="00CA3589"/>
    <w:rsid w:val="00CF4ADE"/>
    <w:rsid w:val="00D047E1"/>
    <w:rsid w:val="00D2756A"/>
    <w:rsid w:val="00D52195"/>
    <w:rsid w:val="00D52438"/>
    <w:rsid w:val="00DB0198"/>
    <w:rsid w:val="00DB3315"/>
    <w:rsid w:val="00DC0AA1"/>
    <w:rsid w:val="00DC1BF1"/>
    <w:rsid w:val="00DD4957"/>
    <w:rsid w:val="00E0009E"/>
    <w:rsid w:val="00E13C88"/>
    <w:rsid w:val="00E2160C"/>
    <w:rsid w:val="00E35718"/>
    <w:rsid w:val="00E35A6C"/>
    <w:rsid w:val="00E4412C"/>
    <w:rsid w:val="00E705C6"/>
    <w:rsid w:val="00EE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9F3D"/>
  <w15:chartTrackingRefBased/>
  <w15:docId w15:val="{69F8ABA8-717E-4D67-9B1E-FD6A307E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locked="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AA1"/>
    <w:pPr>
      <w:spacing w:line="240" w:lineRule="auto"/>
    </w:pPr>
    <w:rPr>
      <w:rFonts w:ascii="Arial" w:hAnsi="Arial" w:cstheme="majorBidi"/>
      <w:color w:val="000000" w:themeColor="text1"/>
      <w:kern w:val="0"/>
      <w:sz w:val="24"/>
      <w:szCs w:val="32"/>
      <w14:ligatures w14:val="none"/>
    </w:rPr>
  </w:style>
  <w:style w:type="paragraph" w:styleId="Heading1">
    <w:name w:val="heading 1"/>
    <w:basedOn w:val="Normal"/>
    <w:next w:val="Normal"/>
    <w:link w:val="Heading1Char"/>
    <w:qFormat/>
    <w:rsid w:val="00D52438"/>
    <w:pPr>
      <w:keepNext/>
      <w:keepLines/>
      <w:numPr>
        <w:numId w:val="1"/>
      </w:numPr>
      <w:spacing w:before="240" w:after="120"/>
      <w:ind w:left="357" w:hanging="357"/>
      <w:outlineLvl w:val="0"/>
    </w:pPr>
    <w:rPr>
      <w:rFonts w:eastAsiaTheme="majorEastAsia"/>
      <w:b/>
      <w:color w:val="0062AE"/>
      <w:sz w:val="28"/>
      <w:lang w:eastAsia="en-GB"/>
    </w:rPr>
  </w:style>
  <w:style w:type="paragraph" w:styleId="Heading2">
    <w:name w:val="heading 2"/>
    <w:basedOn w:val="Normal"/>
    <w:next w:val="Normal"/>
    <w:link w:val="Heading2Char"/>
    <w:autoRedefine/>
    <w:unhideWhenUsed/>
    <w:qFormat/>
    <w:rsid w:val="00330652"/>
    <w:pPr>
      <w:keepNext/>
      <w:keepLines/>
      <w:tabs>
        <w:tab w:val="left" w:pos="567"/>
      </w:tabs>
      <w:spacing w:after="120"/>
      <w:ind w:left="113"/>
      <w:outlineLvl w:val="1"/>
    </w:pPr>
    <w:rPr>
      <w:rFonts w:eastAsia="Times New Roman" w:cs="Times New Roman"/>
      <w:b/>
      <w:color w:val="0088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438"/>
    <w:rPr>
      <w:rFonts w:ascii="Arial" w:eastAsiaTheme="majorEastAsia" w:hAnsi="Arial" w:cstheme="majorBidi"/>
      <w:b/>
      <w:color w:val="0062AE"/>
      <w:kern w:val="0"/>
      <w:sz w:val="28"/>
      <w:szCs w:val="32"/>
      <w:lang w:eastAsia="en-GB"/>
      <w14:ligatures w14:val="none"/>
    </w:rPr>
  </w:style>
  <w:style w:type="character" w:customStyle="1" w:styleId="Heading2Char">
    <w:name w:val="Heading 2 Char"/>
    <w:basedOn w:val="DefaultParagraphFont"/>
    <w:link w:val="Heading2"/>
    <w:rsid w:val="00330652"/>
    <w:rPr>
      <w:rFonts w:ascii="Arial" w:eastAsia="Times New Roman" w:hAnsi="Arial" w:cs="Times New Roman"/>
      <w:b/>
      <w:color w:val="008800"/>
      <w:kern w:val="0"/>
      <w:sz w:val="24"/>
      <w:szCs w:val="24"/>
      <w:lang w:eastAsia="en-GB"/>
      <w14:ligatures w14:val="none"/>
    </w:rPr>
  </w:style>
  <w:style w:type="paragraph" w:styleId="Footer">
    <w:name w:val="footer"/>
    <w:basedOn w:val="Normal"/>
    <w:link w:val="FooterChar"/>
    <w:uiPriority w:val="99"/>
    <w:unhideWhenUsed/>
    <w:qFormat/>
    <w:rsid w:val="00DC0AA1"/>
    <w:pPr>
      <w:tabs>
        <w:tab w:val="center" w:pos="4513"/>
        <w:tab w:val="right" w:pos="9026"/>
      </w:tabs>
      <w:spacing w:after="0"/>
    </w:pPr>
    <w:rPr>
      <w:b/>
      <w:sz w:val="16"/>
    </w:rPr>
  </w:style>
  <w:style w:type="character" w:customStyle="1" w:styleId="FooterChar">
    <w:name w:val="Footer Char"/>
    <w:basedOn w:val="DefaultParagraphFont"/>
    <w:link w:val="Footer"/>
    <w:uiPriority w:val="99"/>
    <w:rsid w:val="00DC0AA1"/>
    <w:rPr>
      <w:rFonts w:ascii="Arial" w:hAnsi="Arial" w:cstheme="majorBidi"/>
      <w:b/>
      <w:color w:val="000000" w:themeColor="text1"/>
      <w:kern w:val="0"/>
      <w:sz w:val="16"/>
      <w:szCs w:val="32"/>
      <w14:ligatures w14:val="none"/>
    </w:rPr>
  </w:style>
  <w:style w:type="paragraph" w:styleId="Title">
    <w:name w:val="Title"/>
    <w:basedOn w:val="Normal"/>
    <w:next w:val="Normal"/>
    <w:link w:val="TitleChar"/>
    <w:qFormat/>
    <w:rsid w:val="00DC0AA1"/>
    <w:pPr>
      <w:spacing w:after="0"/>
      <w:contextualSpacing/>
    </w:pPr>
    <w:rPr>
      <w:rFonts w:eastAsiaTheme="majorEastAsia"/>
      <w:b/>
      <w:color w:val="0062AE"/>
      <w:spacing w:val="-10"/>
      <w:kern w:val="28"/>
      <w:sz w:val="56"/>
      <w:szCs w:val="56"/>
    </w:rPr>
  </w:style>
  <w:style w:type="character" w:customStyle="1" w:styleId="TitleChar">
    <w:name w:val="Title Char"/>
    <w:basedOn w:val="DefaultParagraphFont"/>
    <w:link w:val="Title"/>
    <w:rsid w:val="00DC0AA1"/>
    <w:rPr>
      <w:rFonts w:ascii="Arial" w:eastAsiaTheme="majorEastAsia" w:hAnsi="Arial" w:cstheme="majorBidi"/>
      <w:b/>
      <w:color w:val="0062AE"/>
      <w:spacing w:val="-10"/>
      <w:kern w:val="28"/>
      <w:sz w:val="56"/>
      <w:szCs w:val="56"/>
      <w14:ligatures w14:val="none"/>
    </w:rPr>
  </w:style>
  <w:style w:type="table" w:styleId="TableGrid">
    <w:name w:val="Table Grid"/>
    <w:basedOn w:val="TableNormal"/>
    <w:rsid w:val="00DC0AA1"/>
    <w:pPr>
      <w:spacing w:after="0" w:line="240" w:lineRule="auto"/>
    </w:pPr>
    <w:rPr>
      <w:rFonts w:ascii="Calibri" w:eastAsia="Times New Roman" w:hAnsi="Calibri" w:cs="Times New Roman"/>
      <w:color w:val="000000" w:themeColor="text1"/>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TOCHeading">
    <w:name w:val="TOC Heading"/>
    <w:basedOn w:val="Heading1"/>
    <w:next w:val="Normal"/>
    <w:uiPriority w:val="39"/>
    <w:unhideWhenUsed/>
    <w:qFormat/>
    <w:rsid w:val="00DC0AA1"/>
    <w:pPr>
      <w:numPr>
        <w:numId w:val="0"/>
      </w:numPr>
      <w:spacing w:after="0" w:line="259" w:lineRule="auto"/>
      <w:outlineLvl w:val="9"/>
    </w:pPr>
    <w:rPr>
      <w:sz w:val="32"/>
      <w:lang w:val="en-US" w:eastAsia="en-US"/>
    </w:rPr>
  </w:style>
  <w:style w:type="paragraph" w:styleId="TOC1">
    <w:name w:val="toc 1"/>
    <w:basedOn w:val="Normal"/>
    <w:next w:val="Normal"/>
    <w:autoRedefine/>
    <w:uiPriority w:val="39"/>
    <w:unhideWhenUsed/>
    <w:qFormat/>
    <w:rsid w:val="00DC0AA1"/>
    <w:pPr>
      <w:tabs>
        <w:tab w:val="left" w:pos="440"/>
        <w:tab w:val="right" w:leader="dot" w:pos="9016"/>
      </w:tabs>
      <w:spacing w:after="100"/>
    </w:pPr>
    <w:rPr>
      <w:rFonts w:cs="Arial"/>
      <w:noProof/>
    </w:rPr>
  </w:style>
  <w:style w:type="paragraph" w:styleId="TOC2">
    <w:name w:val="toc 2"/>
    <w:basedOn w:val="Normal"/>
    <w:next w:val="Normal"/>
    <w:autoRedefine/>
    <w:uiPriority w:val="39"/>
    <w:unhideWhenUsed/>
    <w:qFormat/>
    <w:rsid w:val="00DC0AA1"/>
    <w:pPr>
      <w:tabs>
        <w:tab w:val="left" w:pos="880"/>
        <w:tab w:val="right" w:leader="dot" w:pos="9016"/>
      </w:tabs>
      <w:spacing w:after="100"/>
      <w:ind w:left="220"/>
    </w:pPr>
    <w:rPr>
      <w:rFonts w:cs="Arial"/>
      <w:noProof/>
    </w:rPr>
  </w:style>
  <w:style w:type="character" w:styleId="Hyperlink">
    <w:name w:val="Hyperlink"/>
    <w:basedOn w:val="DefaultParagraphFont"/>
    <w:uiPriority w:val="99"/>
    <w:unhideWhenUsed/>
    <w:rsid w:val="00DC0AA1"/>
    <w:rPr>
      <w:rFonts w:asciiTheme="minorHAnsi" w:hAnsiTheme="minorHAnsi"/>
      <w:color w:val="0563C1" w:themeColor="hyperlink"/>
      <w:sz w:val="22"/>
      <w:u w:val="single"/>
    </w:rPr>
  </w:style>
  <w:style w:type="paragraph" w:customStyle="1" w:styleId="DocTitle">
    <w:name w:val="Doc Title"/>
    <w:basedOn w:val="Title"/>
    <w:link w:val="DocTitleChar"/>
    <w:qFormat/>
    <w:rsid w:val="00DC0AA1"/>
    <w:rPr>
      <w:rFonts w:cstheme="minorHAnsi"/>
      <w:color w:val="319B31"/>
    </w:rPr>
  </w:style>
  <w:style w:type="character" w:customStyle="1" w:styleId="DocTitleChar">
    <w:name w:val="Doc Title Char"/>
    <w:basedOn w:val="TitleChar"/>
    <w:link w:val="DocTitle"/>
    <w:rsid w:val="00DC0AA1"/>
    <w:rPr>
      <w:rFonts w:ascii="Arial" w:eastAsiaTheme="majorEastAsia" w:hAnsi="Arial" w:cstheme="minorHAnsi"/>
      <w:b/>
      <w:color w:val="319B31"/>
      <w:spacing w:val="-10"/>
      <w:kern w:val="28"/>
      <w:sz w:val="56"/>
      <w:szCs w:val="56"/>
      <w14:ligatures w14:val="none"/>
    </w:rPr>
  </w:style>
  <w:style w:type="paragraph" w:styleId="ListBullet">
    <w:name w:val="List Bullet"/>
    <w:basedOn w:val="Normal"/>
    <w:link w:val="ListBulletChar"/>
    <w:uiPriority w:val="99"/>
    <w:unhideWhenUsed/>
    <w:qFormat/>
    <w:rsid w:val="00DC0AA1"/>
    <w:pPr>
      <w:numPr>
        <w:numId w:val="2"/>
      </w:numPr>
      <w:contextualSpacing/>
    </w:pPr>
  </w:style>
  <w:style w:type="paragraph" w:customStyle="1" w:styleId="BoldNormal">
    <w:name w:val="Bold Normal"/>
    <w:basedOn w:val="Normal"/>
    <w:link w:val="BoldNormalChar"/>
    <w:autoRedefine/>
    <w:qFormat/>
    <w:rsid w:val="00DC0AA1"/>
    <w:rPr>
      <w:b/>
    </w:rPr>
  </w:style>
  <w:style w:type="paragraph" w:customStyle="1" w:styleId="UnderlineNormal">
    <w:name w:val="Underline Normal"/>
    <w:basedOn w:val="Normal"/>
    <w:link w:val="UnderlineNormalChar"/>
    <w:qFormat/>
    <w:rsid w:val="00DC0AA1"/>
    <w:rPr>
      <w:u w:val="single"/>
    </w:rPr>
  </w:style>
  <w:style w:type="character" w:customStyle="1" w:styleId="BoldNormalChar">
    <w:name w:val="Bold Normal Char"/>
    <w:basedOn w:val="DefaultParagraphFont"/>
    <w:link w:val="BoldNormal"/>
    <w:rsid w:val="00DC0AA1"/>
    <w:rPr>
      <w:rFonts w:ascii="Arial" w:hAnsi="Arial" w:cstheme="majorBidi"/>
      <w:b/>
      <w:color w:val="000000" w:themeColor="text1"/>
      <w:kern w:val="0"/>
      <w:sz w:val="24"/>
      <w:szCs w:val="32"/>
      <w14:ligatures w14:val="none"/>
    </w:rPr>
  </w:style>
  <w:style w:type="character" w:customStyle="1" w:styleId="UnderlineNormalChar">
    <w:name w:val="Underline Normal Char"/>
    <w:basedOn w:val="DefaultParagraphFont"/>
    <w:link w:val="UnderlineNormal"/>
    <w:rsid w:val="00DC0AA1"/>
    <w:rPr>
      <w:rFonts w:ascii="Arial" w:hAnsi="Arial" w:cstheme="majorBidi"/>
      <w:color w:val="000000" w:themeColor="text1"/>
      <w:kern w:val="0"/>
      <w:sz w:val="24"/>
      <w:szCs w:val="32"/>
      <w:u w:val="single"/>
      <w14:ligatures w14:val="none"/>
    </w:rPr>
  </w:style>
  <w:style w:type="paragraph" w:customStyle="1" w:styleId="RomanNumerals">
    <w:name w:val="Roman Numerals"/>
    <w:basedOn w:val="ListBullet"/>
    <w:link w:val="RomanNumeralsChar"/>
    <w:qFormat/>
    <w:rsid w:val="00DC0AA1"/>
    <w:pPr>
      <w:numPr>
        <w:numId w:val="3"/>
      </w:numPr>
    </w:pPr>
  </w:style>
  <w:style w:type="paragraph" w:customStyle="1" w:styleId="abcList">
    <w:name w:val="abc List"/>
    <w:basedOn w:val="RomanNumerals"/>
    <w:link w:val="abcListChar"/>
    <w:qFormat/>
    <w:rsid w:val="00DC0AA1"/>
    <w:pPr>
      <w:numPr>
        <w:numId w:val="4"/>
      </w:numPr>
    </w:pPr>
  </w:style>
  <w:style w:type="character" w:customStyle="1" w:styleId="ListBulletChar">
    <w:name w:val="List Bullet Char"/>
    <w:basedOn w:val="DefaultParagraphFont"/>
    <w:link w:val="ListBullet"/>
    <w:uiPriority w:val="99"/>
    <w:rsid w:val="00DC0AA1"/>
    <w:rPr>
      <w:rFonts w:ascii="Arial" w:hAnsi="Arial" w:cstheme="majorBidi"/>
      <w:color w:val="000000" w:themeColor="text1"/>
      <w:kern w:val="0"/>
      <w:sz w:val="24"/>
      <w:szCs w:val="32"/>
      <w14:ligatures w14:val="none"/>
    </w:rPr>
  </w:style>
  <w:style w:type="character" w:customStyle="1" w:styleId="RomanNumeralsChar">
    <w:name w:val="Roman Numerals Char"/>
    <w:basedOn w:val="ListBulletChar"/>
    <w:link w:val="RomanNumerals"/>
    <w:rsid w:val="00DC0AA1"/>
    <w:rPr>
      <w:rFonts w:ascii="Arial" w:hAnsi="Arial" w:cstheme="majorBidi"/>
      <w:color w:val="000000" w:themeColor="text1"/>
      <w:kern w:val="0"/>
      <w:sz w:val="24"/>
      <w:szCs w:val="32"/>
      <w14:ligatures w14:val="none"/>
    </w:rPr>
  </w:style>
  <w:style w:type="paragraph" w:customStyle="1" w:styleId="NumberList">
    <w:name w:val="(Number) List"/>
    <w:basedOn w:val="abcList"/>
    <w:link w:val="NumberListChar"/>
    <w:qFormat/>
    <w:rsid w:val="00DC0AA1"/>
    <w:pPr>
      <w:numPr>
        <w:numId w:val="5"/>
      </w:numPr>
    </w:pPr>
    <w:rPr>
      <w:lang w:eastAsia="en-GB"/>
    </w:rPr>
  </w:style>
  <w:style w:type="character" w:customStyle="1" w:styleId="abcListChar">
    <w:name w:val="abc List Char"/>
    <w:basedOn w:val="RomanNumeralsChar"/>
    <w:link w:val="abcList"/>
    <w:rsid w:val="00DC0AA1"/>
    <w:rPr>
      <w:rFonts w:ascii="Arial" w:hAnsi="Arial" w:cstheme="majorBidi"/>
      <w:color w:val="000000" w:themeColor="text1"/>
      <w:kern w:val="0"/>
      <w:sz w:val="24"/>
      <w:szCs w:val="32"/>
      <w14:ligatures w14:val="none"/>
    </w:rPr>
  </w:style>
  <w:style w:type="character" w:customStyle="1" w:styleId="NumberListChar">
    <w:name w:val="(Number) List Char"/>
    <w:basedOn w:val="abcListChar"/>
    <w:link w:val="NumberList"/>
    <w:rsid w:val="00DC0AA1"/>
    <w:rPr>
      <w:rFonts w:ascii="Arial" w:hAnsi="Arial" w:cstheme="majorBidi"/>
      <w:color w:val="000000" w:themeColor="text1"/>
      <w:kern w:val="0"/>
      <w:sz w:val="24"/>
      <w:szCs w:val="32"/>
      <w:lang w:eastAsia="en-GB"/>
      <w14:ligatures w14:val="none"/>
    </w:rPr>
  </w:style>
  <w:style w:type="paragraph" w:customStyle="1" w:styleId="CentreNormal">
    <w:name w:val="Centre Normal"/>
    <w:basedOn w:val="Normal"/>
    <w:link w:val="CentreNormalChar"/>
    <w:qFormat/>
    <w:rsid w:val="00DC0AA1"/>
    <w:pPr>
      <w:jc w:val="center"/>
    </w:pPr>
  </w:style>
  <w:style w:type="character" w:customStyle="1" w:styleId="CentreNormalChar">
    <w:name w:val="Centre Normal Char"/>
    <w:basedOn w:val="DefaultParagraphFont"/>
    <w:link w:val="CentreNormal"/>
    <w:rsid w:val="00DC0AA1"/>
    <w:rPr>
      <w:rFonts w:ascii="Arial" w:hAnsi="Arial" w:cstheme="majorBidi"/>
      <w:color w:val="000000" w:themeColor="text1"/>
      <w:kern w:val="0"/>
      <w:sz w:val="24"/>
      <w:szCs w:val="32"/>
      <w14:ligatures w14:val="none"/>
    </w:rPr>
  </w:style>
  <w:style w:type="character" w:customStyle="1" w:styleId="Emphasisebold">
    <w:name w:val="Emphasise bold"/>
    <w:basedOn w:val="DefaultParagraphFont"/>
    <w:uiPriority w:val="1"/>
    <w:qFormat/>
    <w:rsid w:val="00DC0AA1"/>
    <w:rPr>
      <w:rFonts w:ascii="Arial" w:hAnsi="Arial"/>
      <w:b/>
    </w:rPr>
  </w:style>
  <w:style w:type="paragraph" w:customStyle="1" w:styleId="Centreboldnormal">
    <w:name w:val="Centre bold normal"/>
    <w:basedOn w:val="Normal"/>
    <w:next w:val="Normal"/>
    <w:link w:val="CentreboldnormalChar"/>
    <w:qFormat/>
    <w:rsid w:val="00DC0AA1"/>
    <w:pPr>
      <w:jc w:val="center"/>
    </w:pPr>
    <w:rPr>
      <w:b/>
      <w:lang w:eastAsia="en-GB"/>
    </w:rPr>
  </w:style>
  <w:style w:type="character" w:customStyle="1" w:styleId="CentreboldnormalChar">
    <w:name w:val="Centre bold normal Char"/>
    <w:basedOn w:val="DefaultParagraphFont"/>
    <w:link w:val="Centreboldnormal"/>
    <w:rsid w:val="00DC0AA1"/>
    <w:rPr>
      <w:rFonts w:ascii="Arial" w:hAnsi="Arial" w:cstheme="majorBidi"/>
      <w:b/>
      <w:color w:val="000000" w:themeColor="text1"/>
      <w:kern w:val="0"/>
      <w:sz w:val="24"/>
      <w:szCs w:val="32"/>
      <w:lang w:eastAsia="en-GB"/>
      <w14:ligatures w14:val="none"/>
    </w:rPr>
  </w:style>
  <w:style w:type="character" w:customStyle="1" w:styleId="Emphasiseitalic">
    <w:name w:val="Emphasise italic"/>
    <w:basedOn w:val="DefaultParagraphFont"/>
    <w:uiPriority w:val="1"/>
    <w:qFormat/>
    <w:rsid w:val="00DC0AA1"/>
    <w:rPr>
      <w:i/>
    </w:rPr>
  </w:style>
  <w:style w:type="table" w:customStyle="1" w:styleId="Table-SideShade">
    <w:name w:val="Table -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alibri" w:hAnsi="Calibri"/>
        <w:b w:val="0"/>
        <w:sz w:val="22"/>
      </w:rPr>
      <w:tblPr/>
      <w:tcPr>
        <w:shd w:val="clear" w:color="auto" w:fill="D9D9D9" w:themeFill="background1" w:themeFillShade="D9"/>
      </w:tcPr>
    </w:tblStylePr>
  </w:style>
  <w:style w:type="table" w:customStyle="1" w:styleId="Table-TopandSideShade">
    <w:name w:val="Table - Top and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tblStylePr w:type="firstCol">
      <w:rPr>
        <w:rFonts w:ascii="Calibri" w:hAnsi="Calibri"/>
        <w:b w:val="0"/>
        <w:sz w:val="22"/>
      </w:rPr>
      <w:tblPr/>
      <w:tcPr>
        <w:shd w:val="clear" w:color="auto" w:fill="D9D9D9" w:themeFill="background1" w:themeFillShade="D9"/>
      </w:tcPr>
    </w:tblStylePr>
  </w:style>
  <w:style w:type="table" w:customStyle="1" w:styleId="Table-TopShade">
    <w:name w:val="Table - Top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style>
  <w:style w:type="paragraph" w:styleId="Revision">
    <w:name w:val="Revision"/>
    <w:hidden/>
    <w:uiPriority w:val="99"/>
    <w:semiHidden/>
    <w:rsid w:val="00993CEB"/>
    <w:pPr>
      <w:spacing w:after="0" w:line="240" w:lineRule="auto"/>
    </w:pPr>
    <w:rPr>
      <w:rFonts w:ascii="Arial" w:hAnsi="Arial" w:cstheme="majorBidi"/>
      <w:color w:val="000000" w:themeColor="text1"/>
      <w:kern w:val="0"/>
      <w:sz w:val="24"/>
      <w:szCs w:val="32"/>
      <w14:ligatures w14:val="none"/>
    </w:rPr>
  </w:style>
  <w:style w:type="character" w:styleId="CommentReference">
    <w:name w:val="annotation reference"/>
    <w:basedOn w:val="DefaultParagraphFont"/>
    <w:uiPriority w:val="99"/>
    <w:semiHidden/>
    <w:unhideWhenUsed/>
    <w:rsid w:val="009571CE"/>
    <w:rPr>
      <w:sz w:val="16"/>
      <w:szCs w:val="16"/>
    </w:rPr>
  </w:style>
  <w:style w:type="paragraph" w:styleId="CommentText">
    <w:name w:val="annotation text"/>
    <w:basedOn w:val="Normal"/>
    <w:link w:val="CommentTextChar"/>
    <w:uiPriority w:val="99"/>
    <w:unhideWhenUsed/>
    <w:rsid w:val="009571CE"/>
    <w:rPr>
      <w:sz w:val="20"/>
      <w:szCs w:val="20"/>
    </w:rPr>
  </w:style>
  <w:style w:type="character" w:customStyle="1" w:styleId="CommentTextChar">
    <w:name w:val="Comment Text Char"/>
    <w:basedOn w:val="DefaultParagraphFont"/>
    <w:link w:val="CommentText"/>
    <w:uiPriority w:val="99"/>
    <w:rsid w:val="009571CE"/>
    <w:rPr>
      <w:rFonts w:ascii="Arial" w:hAnsi="Arial" w:cstheme="majorBidi"/>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71CE"/>
    <w:rPr>
      <w:b/>
      <w:bCs/>
    </w:rPr>
  </w:style>
  <w:style w:type="character" w:customStyle="1" w:styleId="CommentSubjectChar">
    <w:name w:val="Comment Subject Char"/>
    <w:basedOn w:val="CommentTextChar"/>
    <w:link w:val="CommentSubject"/>
    <w:uiPriority w:val="99"/>
    <w:semiHidden/>
    <w:rsid w:val="009571CE"/>
    <w:rPr>
      <w:rFonts w:ascii="Arial" w:hAnsi="Arial" w:cstheme="majorBidi"/>
      <w:b/>
      <w:bCs/>
      <w:color w:val="000000" w:themeColor="text1"/>
      <w:kern w:val="0"/>
      <w:sz w:val="20"/>
      <w:szCs w:val="20"/>
      <w14:ligatures w14:val="none"/>
    </w:rPr>
  </w:style>
  <w:style w:type="paragraph" w:styleId="Header">
    <w:name w:val="header"/>
    <w:basedOn w:val="Normal"/>
    <w:link w:val="HeaderChar"/>
    <w:uiPriority w:val="99"/>
    <w:semiHidden/>
    <w:unhideWhenUsed/>
    <w:locked/>
    <w:rsid w:val="0058019A"/>
    <w:pPr>
      <w:tabs>
        <w:tab w:val="center" w:pos="4513"/>
        <w:tab w:val="right" w:pos="9026"/>
      </w:tabs>
      <w:spacing w:after="0"/>
    </w:pPr>
  </w:style>
  <w:style w:type="character" w:customStyle="1" w:styleId="HeaderChar">
    <w:name w:val="Header Char"/>
    <w:basedOn w:val="DefaultParagraphFont"/>
    <w:link w:val="Header"/>
    <w:uiPriority w:val="99"/>
    <w:semiHidden/>
    <w:rsid w:val="0058019A"/>
    <w:rPr>
      <w:rFonts w:ascii="Arial" w:hAnsi="Arial" w:cstheme="majorBidi"/>
      <w:color w:val="000000" w:themeColor="text1"/>
      <w:kern w:val="0"/>
      <w:sz w:val="24"/>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9" ma:contentTypeDescription="Create a new document." ma:contentTypeScope="" ma:versionID="4f725198022a4514062dee8580d5f052">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2b946fffa900d77e6a80c93637da469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980f29-341e-416e-bfc4-29bd56b014c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Notes xmlns="54a0358b-ecfc-4e45-bc8c-71ba0bd8217c" xsi:nil="true"/>
    <TaxCatchAll xmlns="5f843945-7347-4826-a579-b398510b09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86AF7-1779-4180-9D73-56CABFEB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9A73A-70A6-4792-9FED-5CF00C51BD8D}">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customXml/itemProps3.xml><?xml version="1.0" encoding="utf-8"?>
<ds:datastoreItem xmlns:ds="http://schemas.openxmlformats.org/officeDocument/2006/customXml" ds:itemID="{54B9C058-5F1E-49BB-879D-B8FF4A80C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999</Words>
  <Characters>5698</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THH Reasonable Adjustments Policy</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Adjustments Policy</dc:title>
  <dc:subject/>
  <dc:creator>Tyran Pierre</dc:creator>
  <cp:keywords/>
  <dc:description/>
  <cp:lastModifiedBy>Phillip Nduoyo</cp:lastModifiedBy>
  <cp:revision>3</cp:revision>
  <cp:lastPrinted>2024-11-18T17:16:00Z</cp:lastPrinted>
  <dcterms:created xsi:type="dcterms:W3CDTF">2024-12-10T09:19:00Z</dcterms:created>
  <dcterms:modified xsi:type="dcterms:W3CDTF">2024-12-17T13:26:00Z</dcterms:modified>
  <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ies>
</file>