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0E48F" w14:textId="77777777" w:rsidR="00D52438" w:rsidRDefault="00D52438" w:rsidP="00DC0AA1">
      <w:pPr>
        <w:pStyle w:val="Title"/>
      </w:pPr>
      <w:r>
        <w:rPr>
          <w:noProof/>
        </w:rPr>
        <w:drawing>
          <wp:anchor distT="0" distB="0" distL="114300" distR="114300" simplePos="0" relativeHeight="251659264" behindDoc="1" locked="0" layoutInCell="1" allowOverlap="1" wp14:anchorId="40E9F989" wp14:editId="23158CCF">
            <wp:simplePos x="0" y="0"/>
            <wp:positionH relativeFrom="page">
              <wp:posOffset>-163902</wp:posOffset>
            </wp:positionH>
            <wp:positionV relativeFrom="paragraph">
              <wp:posOffset>-1026543</wp:posOffset>
            </wp:positionV>
            <wp:extent cx="7927676" cy="10681335"/>
            <wp:effectExtent l="0" t="0" r="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2869" cy="10688332"/>
                    </a:xfrm>
                    <a:prstGeom prst="rect">
                      <a:avLst/>
                    </a:prstGeom>
                    <a:noFill/>
                  </pic:spPr>
                </pic:pic>
              </a:graphicData>
            </a:graphic>
            <wp14:sizeRelH relativeFrom="margin">
              <wp14:pctWidth>0</wp14:pctWidth>
            </wp14:sizeRelH>
          </wp:anchor>
        </w:drawing>
      </w:r>
    </w:p>
    <w:p w14:paraId="400D1E09" w14:textId="77777777" w:rsidR="00D52438" w:rsidRDefault="00D52438" w:rsidP="00DC0AA1">
      <w:pPr>
        <w:pStyle w:val="Title"/>
      </w:pPr>
    </w:p>
    <w:p w14:paraId="5246222D" w14:textId="77777777" w:rsidR="00EE6215" w:rsidRDefault="00EE6215" w:rsidP="00DC0AA1">
      <w:pPr>
        <w:pStyle w:val="Title"/>
      </w:pPr>
    </w:p>
    <w:p w14:paraId="6799E931" w14:textId="77777777" w:rsidR="00DC0AA1" w:rsidRPr="00BD0219" w:rsidRDefault="00DC0AA1" w:rsidP="00DC0AA1">
      <w:pPr>
        <w:pStyle w:val="Title"/>
      </w:pPr>
      <w:r>
        <w:t>London Borough of Tower Hamlets</w:t>
      </w:r>
    </w:p>
    <w:p w14:paraId="1693FCA2" w14:textId="77777777" w:rsidR="00DC0AA1" w:rsidRPr="00552F80" w:rsidRDefault="00DC0AA1" w:rsidP="00DC0AA1"/>
    <w:p w14:paraId="3DFC5B86" w14:textId="77777777" w:rsidR="00BF4B1E" w:rsidRDefault="00BF4B1E" w:rsidP="00DC0AA1">
      <w:pPr>
        <w:pStyle w:val="DocTitle"/>
      </w:pPr>
    </w:p>
    <w:p w14:paraId="3947A2C8" w14:textId="77777777" w:rsidR="00BF4B1E" w:rsidRDefault="00BF4B1E" w:rsidP="00DC0AA1">
      <w:pPr>
        <w:pStyle w:val="DocTitle"/>
      </w:pPr>
    </w:p>
    <w:p w14:paraId="6B2C70B3" w14:textId="7177A8E8" w:rsidR="00BF4B1E" w:rsidRDefault="00264BB1" w:rsidP="00DC0AA1">
      <w:pPr>
        <w:pStyle w:val="DocTitle"/>
      </w:pPr>
      <w:r>
        <w:t xml:space="preserve">Housing </w:t>
      </w:r>
      <w:r w:rsidR="006448A0">
        <w:t>Complaints P</w:t>
      </w:r>
      <w:r w:rsidR="00DC0AA1" w:rsidRPr="00590FA2">
        <w:t xml:space="preserve">olicy </w:t>
      </w:r>
      <w:r w:rsidR="006448A0">
        <w:t>and</w:t>
      </w:r>
      <w:r w:rsidR="00DC0AA1" w:rsidRPr="00590FA2">
        <w:t xml:space="preserve"> </w:t>
      </w:r>
      <w:r w:rsidR="00DC0AA1" w:rsidRPr="00A62063">
        <w:t>Procedure</w:t>
      </w:r>
    </w:p>
    <w:p w14:paraId="5273C6B8" w14:textId="7608C3D1" w:rsidR="00264BB1" w:rsidRDefault="00264BB1" w:rsidP="00DC0AA1">
      <w:pPr>
        <w:pStyle w:val="DocTitle"/>
      </w:pPr>
      <w:r>
        <w:t>(For Council Tenants &amp; Leaseholders)</w:t>
      </w:r>
    </w:p>
    <w:p w14:paraId="38A91D2C" w14:textId="77777777" w:rsidR="00BF4B1E" w:rsidRDefault="00BF4B1E" w:rsidP="00DC0AA1">
      <w:pPr>
        <w:pStyle w:val="DocTitle"/>
      </w:pPr>
    </w:p>
    <w:p w14:paraId="4D3C0D72" w14:textId="4C75F2D0" w:rsidR="00BF4B1E" w:rsidRDefault="00BF4B1E" w:rsidP="00DC0AA1">
      <w:pPr>
        <w:pStyle w:val="DocTitle"/>
      </w:pPr>
      <w:r>
        <w:t>202</w:t>
      </w:r>
      <w:r w:rsidR="005E061E">
        <w:t>4</w:t>
      </w:r>
      <w:r w:rsidR="00264BB1">
        <w:t xml:space="preserve"> - 2026</w:t>
      </w:r>
    </w:p>
    <w:p w14:paraId="61A7D753" w14:textId="77777777" w:rsidR="00BF4B1E" w:rsidRDefault="00BF4B1E" w:rsidP="00DC0AA1">
      <w:pPr>
        <w:pStyle w:val="DocTitle"/>
      </w:pPr>
    </w:p>
    <w:p w14:paraId="464F81AF" w14:textId="22EC633D" w:rsidR="00DC0AA1" w:rsidRPr="00BD0219" w:rsidRDefault="00DC0AA1" w:rsidP="00DC0AA1">
      <w:pPr>
        <w:pStyle w:val="DocTitle"/>
      </w:pPr>
      <w:r w:rsidRPr="00590FA2">
        <w:t xml:space="preserve"> </w:t>
      </w:r>
    </w:p>
    <w:p w14:paraId="732EDE34" w14:textId="77777777" w:rsidR="00DC0AA1" w:rsidRDefault="00DC0AA1" w:rsidP="00DC0AA1"/>
    <w:p w14:paraId="1C29EE55" w14:textId="77777777" w:rsidR="00DC0AA1" w:rsidRDefault="00DC0AA1" w:rsidP="00DC0AA1"/>
    <w:p w14:paraId="0FA8F3B2" w14:textId="77777777" w:rsidR="00DC0AA1" w:rsidRPr="00DC0AA1" w:rsidRDefault="00DC0AA1" w:rsidP="00DC0AA1">
      <w:pPr>
        <w:rPr>
          <w:rStyle w:val="Emphasiseitalic"/>
        </w:rPr>
      </w:pPr>
      <w:r>
        <w:br w:type="page"/>
      </w:r>
    </w:p>
    <w:p w14:paraId="53CF8133" w14:textId="7868D24D" w:rsidR="00DC0AA1" w:rsidRDefault="00000000" w:rsidP="00676FC0">
      <w:pPr>
        <w:pStyle w:val="TOCHeading"/>
      </w:pPr>
      <w:sdt>
        <w:sdtPr>
          <w:id w:val="730502372"/>
          <w:docPartObj>
            <w:docPartGallery w:val="Table of Contents"/>
            <w:docPartUnique/>
          </w:docPartObj>
        </w:sdtPr>
        <w:sdtEndPr>
          <w:rPr>
            <w:bCs/>
            <w:noProof/>
          </w:rPr>
        </w:sdtEndPr>
        <w:sdtContent>
          <w:r w:rsidR="00DC0AA1">
            <w:t>Contents</w:t>
          </w:r>
        </w:sdtContent>
      </w:sdt>
    </w:p>
    <w:p w14:paraId="15503FEE" w14:textId="0B6C19F2" w:rsidR="009118CA" w:rsidRDefault="001344F6">
      <w:pPr>
        <w:pStyle w:val="TOC1"/>
        <w:rPr>
          <w:rFonts w:asciiTheme="minorHAnsi" w:eastAsiaTheme="minorEastAsia" w:hAnsiTheme="minorHAnsi" w:cstheme="minorBidi"/>
          <w:color w:val="auto"/>
          <w:kern w:val="2"/>
          <w:szCs w:val="24"/>
          <w:lang w:eastAsia="en-GB"/>
          <w14:ligatures w14:val="standardContextual"/>
        </w:rPr>
      </w:pPr>
      <w:r w:rsidRPr="00777D19">
        <w:fldChar w:fldCharType="begin"/>
      </w:r>
      <w:r w:rsidRPr="00FE574E">
        <w:instrText xml:space="preserve"> TOC \o "1-3" \h \z \u </w:instrText>
      </w:r>
      <w:r w:rsidRPr="00777D19">
        <w:fldChar w:fldCharType="separate"/>
      </w:r>
      <w:hyperlink w:anchor="_Toc168989920" w:history="1">
        <w:r w:rsidR="009118CA" w:rsidRPr="001064B9">
          <w:rPr>
            <w:rStyle w:val="Hyperlink"/>
          </w:rPr>
          <w:t>1.</w:t>
        </w:r>
        <w:r w:rsidR="009118CA">
          <w:rPr>
            <w:rFonts w:asciiTheme="minorHAnsi" w:eastAsiaTheme="minorEastAsia" w:hAnsiTheme="minorHAnsi" w:cstheme="minorBidi"/>
            <w:color w:val="auto"/>
            <w:kern w:val="2"/>
            <w:szCs w:val="24"/>
            <w:lang w:eastAsia="en-GB"/>
            <w14:ligatures w14:val="standardContextual"/>
          </w:rPr>
          <w:tab/>
        </w:r>
        <w:r w:rsidR="009118CA" w:rsidRPr="001064B9">
          <w:rPr>
            <w:rStyle w:val="Hyperlink"/>
          </w:rPr>
          <w:t>Introduction</w:t>
        </w:r>
        <w:r w:rsidR="009118CA">
          <w:rPr>
            <w:webHidden/>
          </w:rPr>
          <w:tab/>
        </w:r>
        <w:r w:rsidR="009118CA">
          <w:rPr>
            <w:webHidden/>
          </w:rPr>
          <w:fldChar w:fldCharType="begin"/>
        </w:r>
        <w:r w:rsidR="009118CA">
          <w:rPr>
            <w:webHidden/>
          </w:rPr>
          <w:instrText xml:space="preserve"> PAGEREF _Toc168989920 \h </w:instrText>
        </w:r>
        <w:r w:rsidR="009118CA">
          <w:rPr>
            <w:webHidden/>
          </w:rPr>
        </w:r>
        <w:r w:rsidR="009118CA">
          <w:rPr>
            <w:webHidden/>
          </w:rPr>
          <w:fldChar w:fldCharType="separate"/>
        </w:r>
        <w:r w:rsidR="009118CA">
          <w:rPr>
            <w:webHidden/>
          </w:rPr>
          <w:t>3</w:t>
        </w:r>
        <w:r w:rsidR="009118CA">
          <w:rPr>
            <w:webHidden/>
          </w:rPr>
          <w:fldChar w:fldCharType="end"/>
        </w:r>
      </w:hyperlink>
    </w:p>
    <w:p w14:paraId="42B14535" w14:textId="5A77FAD3"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21" w:history="1">
        <w:r w:rsidRPr="001064B9">
          <w:rPr>
            <w:rStyle w:val="Hyperlink"/>
          </w:rPr>
          <w:t>2.</w:t>
        </w:r>
        <w:r>
          <w:rPr>
            <w:rFonts w:asciiTheme="minorHAnsi" w:eastAsiaTheme="minorEastAsia" w:hAnsiTheme="minorHAnsi" w:cstheme="minorBidi"/>
            <w:color w:val="auto"/>
            <w:kern w:val="2"/>
            <w:szCs w:val="24"/>
            <w:lang w:eastAsia="en-GB"/>
            <w14:ligatures w14:val="standardContextual"/>
          </w:rPr>
          <w:tab/>
        </w:r>
        <w:r w:rsidRPr="001064B9">
          <w:rPr>
            <w:rStyle w:val="Hyperlink"/>
          </w:rPr>
          <w:t>Purpose and aim</w:t>
        </w:r>
        <w:r>
          <w:rPr>
            <w:webHidden/>
          </w:rPr>
          <w:tab/>
        </w:r>
        <w:r>
          <w:rPr>
            <w:webHidden/>
          </w:rPr>
          <w:fldChar w:fldCharType="begin"/>
        </w:r>
        <w:r>
          <w:rPr>
            <w:webHidden/>
          </w:rPr>
          <w:instrText xml:space="preserve"> PAGEREF _Toc168989921 \h </w:instrText>
        </w:r>
        <w:r>
          <w:rPr>
            <w:webHidden/>
          </w:rPr>
        </w:r>
        <w:r>
          <w:rPr>
            <w:webHidden/>
          </w:rPr>
          <w:fldChar w:fldCharType="separate"/>
        </w:r>
        <w:r>
          <w:rPr>
            <w:webHidden/>
          </w:rPr>
          <w:t>3</w:t>
        </w:r>
        <w:r>
          <w:rPr>
            <w:webHidden/>
          </w:rPr>
          <w:fldChar w:fldCharType="end"/>
        </w:r>
      </w:hyperlink>
    </w:p>
    <w:p w14:paraId="25B8E17D" w14:textId="3D0B17F2"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22" w:history="1">
        <w:r w:rsidRPr="001064B9">
          <w:rPr>
            <w:rStyle w:val="Hyperlink"/>
          </w:rPr>
          <w:t>3.</w:t>
        </w:r>
        <w:r>
          <w:rPr>
            <w:rFonts w:asciiTheme="minorHAnsi" w:eastAsiaTheme="minorEastAsia" w:hAnsiTheme="minorHAnsi" w:cstheme="minorBidi"/>
            <w:color w:val="auto"/>
            <w:kern w:val="2"/>
            <w:szCs w:val="24"/>
            <w:lang w:eastAsia="en-GB"/>
            <w14:ligatures w14:val="standardContextual"/>
          </w:rPr>
          <w:tab/>
        </w:r>
        <w:r w:rsidRPr="001064B9">
          <w:rPr>
            <w:rStyle w:val="Hyperlink"/>
          </w:rPr>
          <w:t>What is a complaint?</w:t>
        </w:r>
        <w:r>
          <w:rPr>
            <w:webHidden/>
          </w:rPr>
          <w:tab/>
        </w:r>
        <w:r>
          <w:rPr>
            <w:webHidden/>
          </w:rPr>
          <w:fldChar w:fldCharType="begin"/>
        </w:r>
        <w:r>
          <w:rPr>
            <w:webHidden/>
          </w:rPr>
          <w:instrText xml:space="preserve"> PAGEREF _Toc168989922 \h </w:instrText>
        </w:r>
        <w:r>
          <w:rPr>
            <w:webHidden/>
          </w:rPr>
        </w:r>
        <w:r>
          <w:rPr>
            <w:webHidden/>
          </w:rPr>
          <w:fldChar w:fldCharType="separate"/>
        </w:r>
        <w:r>
          <w:rPr>
            <w:webHidden/>
          </w:rPr>
          <w:t>3</w:t>
        </w:r>
        <w:r>
          <w:rPr>
            <w:webHidden/>
          </w:rPr>
          <w:fldChar w:fldCharType="end"/>
        </w:r>
      </w:hyperlink>
    </w:p>
    <w:p w14:paraId="40AF4D14" w14:textId="1349E511"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23" w:history="1">
        <w:r w:rsidRPr="001064B9">
          <w:rPr>
            <w:rStyle w:val="Hyperlink"/>
          </w:rPr>
          <w:t>4.</w:t>
        </w:r>
        <w:r>
          <w:rPr>
            <w:rFonts w:asciiTheme="minorHAnsi" w:eastAsiaTheme="minorEastAsia" w:hAnsiTheme="minorHAnsi" w:cstheme="minorBidi"/>
            <w:color w:val="auto"/>
            <w:kern w:val="2"/>
            <w:szCs w:val="24"/>
            <w:lang w:eastAsia="en-GB"/>
            <w14:ligatures w14:val="standardContextual"/>
          </w:rPr>
          <w:tab/>
        </w:r>
        <w:r w:rsidRPr="001064B9">
          <w:rPr>
            <w:rStyle w:val="Hyperlink"/>
          </w:rPr>
          <w:t>Who can make a complaint?</w:t>
        </w:r>
        <w:r>
          <w:rPr>
            <w:webHidden/>
          </w:rPr>
          <w:tab/>
        </w:r>
        <w:r>
          <w:rPr>
            <w:webHidden/>
          </w:rPr>
          <w:fldChar w:fldCharType="begin"/>
        </w:r>
        <w:r>
          <w:rPr>
            <w:webHidden/>
          </w:rPr>
          <w:instrText xml:space="preserve"> PAGEREF _Toc168989923 \h </w:instrText>
        </w:r>
        <w:r>
          <w:rPr>
            <w:webHidden/>
          </w:rPr>
        </w:r>
        <w:r>
          <w:rPr>
            <w:webHidden/>
          </w:rPr>
          <w:fldChar w:fldCharType="separate"/>
        </w:r>
        <w:r>
          <w:rPr>
            <w:webHidden/>
          </w:rPr>
          <w:t>3</w:t>
        </w:r>
        <w:r>
          <w:rPr>
            <w:webHidden/>
          </w:rPr>
          <w:fldChar w:fldCharType="end"/>
        </w:r>
      </w:hyperlink>
    </w:p>
    <w:p w14:paraId="202CDBD9" w14:textId="75AB303A" w:rsidR="009118CA" w:rsidRDefault="009118CA">
      <w:pPr>
        <w:pStyle w:val="TOC2"/>
        <w:rPr>
          <w:rFonts w:asciiTheme="minorHAnsi" w:eastAsiaTheme="minorEastAsia" w:hAnsiTheme="minorHAnsi" w:cstheme="minorBidi"/>
          <w:color w:val="auto"/>
          <w:kern w:val="2"/>
          <w:szCs w:val="24"/>
          <w:lang w:eastAsia="en-GB"/>
          <w14:ligatures w14:val="standardContextual"/>
        </w:rPr>
      </w:pPr>
      <w:hyperlink w:anchor="_Toc168989924" w:history="1">
        <w:r w:rsidRPr="001064B9">
          <w:rPr>
            <w:rStyle w:val="Hyperlink"/>
          </w:rPr>
          <w:t>4.1</w:t>
        </w:r>
        <w:r>
          <w:rPr>
            <w:rFonts w:asciiTheme="minorHAnsi" w:eastAsiaTheme="minorEastAsia" w:hAnsiTheme="minorHAnsi" w:cstheme="minorBidi"/>
            <w:color w:val="auto"/>
            <w:kern w:val="2"/>
            <w:szCs w:val="24"/>
            <w:lang w:eastAsia="en-GB"/>
            <w14:ligatures w14:val="standardContextual"/>
          </w:rPr>
          <w:tab/>
        </w:r>
        <w:r w:rsidRPr="001064B9">
          <w:rPr>
            <w:rStyle w:val="Hyperlink"/>
          </w:rPr>
          <w:t>Complaints through an advocate</w:t>
        </w:r>
        <w:r>
          <w:rPr>
            <w:webHidden/>
          </w:rPr>
          <w:tab/>
        </w:r>
        <w:r>
          <w:rPr>
            <w:webHidden/>
          </w:rPr>
          <w:fldChar w:fldCharType="begin"/>
        </w:r>
        <w:r>
          <w:rPr>
            <w:webHidden/>
          </w:rPr>
          <w:instrText xml:space="preserve"> PAGEREF _Toc168989924 \h </w:instrText>
        </w:r>
        <w:r>
          <w:rPr>
            <w:webHidden/>
          </w:rPr>
        </w:r>
        <w:r>
          <w:rPr>
            <w:webHidden/>
          </w:rPr>
          <w:fldChar w:fldCharType="separate"/>
        </w:r>
        <w:r>
          <w:rPr>
            <w:webHidden/>
          </w:rPr>
          <w:t>4</w:t>
        </w:r>
        <w:r>
          <w:rPr>
            <w:webHidden/>
          </w:rPr>
          <w:fldChar w:fldCharType="end"/>
        </w:r>
      </w:hyperlink>
    </w:p>
    <w:p w14:paraId="73FAD6AA" w14:textId="27D097D4"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25" w:history="1">
        <w:r w:rsidRPr="001064B9">
          <w:rPr>
            <w:rStyle w:val="Hyperlink"/>
          </w:rPr>
          <w:t>5.</w:t>
        </w:r>
        <w:r>
          <w:rPr>
            <w:rFonts w:asciiTheme="minorHAnsi" w:eastAsiaTheme="minorEastAsia" w:hAnsiTheme="minorHAnsi" w:cstheme="minorBidi"/>
            <w:color w:val="auto"/>
            <w:kern w:val="2"/>
            <w:szCs w:val="24"/>
            <w:lang w:eastAsia="en-GB"/>
            <w14:ligatures w14:val="standardContextual"/>
          </w:rPr>
          <w:tab/>
        </w:r>
        <w:r w:rsidRPr="001064B9">
          <w:rPr>
            <w:rStyle w:val="Hyperlink"/>
          </w:rPr>
          <w:t>Matters that cannot be dealt with under this policy</w:t>
        </w:r>
        <w:r>
          <w:rPr>
            <w:webHidden/>
          </w:rPr>
          <w:tab/>
        </w:r>
        <w:r>
          <w:rPr>
            <w:webHidden/>
          </w:rPr>
          <w:fldChar w:fldCharType="begin"/>
        </w:r>
        <w:r>
          <w:rPr>
            <w:webHidden/>
          </w:rPr>
          <w:instrText xml:space="preserve"> PAGEREF _Toc168989925 \h </w:instrText>
        </w:r>
        <w:r>
          <w:rPr>
            <w:webHidden/>
          </w:rPr>
        </w:r>
        <w:r>
          <w:rPr>
            <w:webHidden/>
          </w:rPr>
          <w:fldChar w:fldCharType="separate"/>
        </w:r>
        <w:r>
          <w:rPr>
            <w:webHidden/>
          </w:rPr>
          <w:t>4</w:t>
        </w:r>
        <w:r>
          <w:rPr>
            <w:webHidden/>
          </w:rPr>
          <w:fldChar w:fldCharType="end"/>
        </w:r>
      </w:hyperlink>
    </w:p>
    <w:p w14:paraId="790A38DB" w14:textId="3D9DA568"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26" w:history="1">
        <w:r w:rsidRPr="001064B9">
          <w:rPr>
            <w:rStyle w:val="Hyperlink"/>
          </w:rPr>
          <w:t>6.</w:t>
        </w:r>
        <w:r>
          <w:rPr>
            <w:rFonts w:asciiTheme="minorHAnsi" w:eastAsiaTheme="minorEastAsia" w:hAnsiTheme="minorHAnsi" w:cstheme="minorBidi"/>
            <w:color w:val="auto"/>
            <w:kern w:val="2"/>
            <w:szCs w:val="24"/>
            <w:lang w:eastAsia="en-GB"/>
            <w14:ligatures w14:val="standardContextual"/>
          </w:rPr>
          <w:tab/>
        </w:r>
        <w:r w:rsidRPr="001064B9">
          <w:rPr>
            <w:rStyle w:val="Hyperlink"/>
          </w:rPr>
          <w:t>How to complain</w:t>
        </w:r>
        <w:r>
          <w:rPr>
            <w:webHidden/>
          </w:rPr>
          <w:tab/>
        </w:r>
        <w:r>
          <w:rPr>
            <w:webHidden/>
          </w:rPr>
          <w:fldChar w:fldCharType="begin"/>
        </w:r>
        <w:r>
          <w:rPr>
            <w:webHidden/>
          </w:rPr>
          <w:instrText xml:space="preserve"> PAGEREF _Toc168989926 \h </w:instrText>
        </w:r>
        <w:r>
          <w:rPr>
            <w:webHidden/>
          </w:rPr>
        </w:r>
        <w:r>
          <w:rPr>
            <w:webHidden/>
          </w:rPr>
          <w:fldChar w:fldCharType="separate"/>
        </w:r>
        <w:r>
          <w:rPr>
            <w:webHidden/>
          </w:rPr>
          <w:t>6</w:t>
        </w:r>
        <w:r>
          <w:rPr>
            <w:webHidden/>
          </w:rPr>
          <w:fldChar w:fldCharType="end"/>
        </w:r>
      </w:hyperlink>
    </w:p>
    <w:p w14:paraId="18342891" w14:textId="6BA52EED" w:rsidR="009118CA" w:rsidRDefault="009118CA">
      <w:pPr>
        <w:pStyle w:val="TOC2"/>
        <w:rPr>
          <w:rFonts w:asciiTheme="minorHAnsi" w:eastAsiaTheme="minorEastAsia" w:hAnsiTheme="minorHAnsi" w:cstheme="minorBidi"/>
          <w:color w:val="auto"/>
          <w:kern w:val="2"/>
          <w:szCs w:val="24"/>
          <w:lang w:eastAsia="en-GB"/>
          <w14:ligatures w14:val="standardContextual"/>
        </w:rPr>
      </w:pPr>
      <w:hyperlink w:anchor="_Toc168989927" w:history="1">
        <w:r w:rsidRPr="001064B9">
          <w:rPr>
            <w:rStyle w:val="Hyperlink"/>
          </w:rPr>
          <w:t>6.1</w:t>
        </w:r>
        <w:r>
          <w:rPr>
            <w:rFonts w:asciiTheme="minorHAnsi" w:eastAsiaTheme="minorEastAsia" w:hAnsiTheme="minorHAnsi" w:cstheme="minorBidi"/>
            <w:color w:val="auto"/>
            <w:kern w:val="2"/>
            <w:szCs w:val="24"/>
            <w:lang w:eastAsia="en-GB"/>
            <w14:ligatures w14:val="standardContextual"/>
          </w:rPr>
          <w:tab/>
        </w:r>
        <w:r w:rsidRPr="001064B9">
          <w:rPr>
            <w:rStyle w:val="Hyperlink"/>
          </w:rPr>
          <w:t>How we will publicise the Complaints Process</w:t>
        </w:r>
        <w:r>
          <w:rPr>
            <w:webHidden/>
          </w:rPr>
          <w:tab/>
        </w:r>
        <w:r>
          <w:rPr>
            <w:webHidden/>
          </w:rPr>
          <w:fldChar w:fldCharType="begin"/>
        </w:r>
        <w:r>
          <w:rPr>
            <w:webHidden/>
          </w:rPr>
          <w:instrText xml:space="preserve"> PAGEREF _Toc168989927 \h </w:instrText>
        </w:r>
        <w:r>
          <w:rPr>
            <w:webHidden/>
          </w:rPr>
        </w:r>
        <w:r>
          <w:rPr>
            <w:webHidden/>
          </w:rPr>
          <w:fldChar w:fldCharType="separate"/>
        </w:r>
        <w:r>
          <w:rPr>
            <w:webHidden/>
          </w:rPr>
          <w:t>6</w:t>
        </w:r>
        <w:r>
          <w:rPr>
            <w:webHidden/>
          </w:rPr>
          <w:fldChar w:fldCharType="end"/>
        </w:r>
      </w:hyperlink>
    </w:p>
    <w:p w14:paraId="2404F1A8" w14:textId="088CB56E"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28" w:history="1">
        <w:r w:rsidRPr="001064B9">
          <w:rPr>
            <w:rStyle w:val="Hyperlink"/>
          </w:rPr>
          <w:t>7.</w:t>
        </w:r>
        <w:r>
          <w:rPr>
            <w:rFonts w:asciiTheme="minorHAnsi" w:eastAsiaTheme="minorEastAsia" w:hAnsiTheme="minorHAnsi" w:cstheme="minorBidi"/>
            <w:color w:val="auto"/>
            <w:kern w:val="2"/>
            <w:szCs w:val="24"/>
            <w:lang w:eastAsia="en-GB"/>
            <w14:ligatures w14:val="standardContextual"/>
          </w:rPr>
          <w:tab/>
        </w:r>
        <w:r w:rsidRPr="001064B9">
          <w:rPr>
            <w:rStyle w:val="Hyperlink"/>
          </w:rPr>
          <w:t>The Housing Ombudsman and your complaint</w:t>
        </w:r>
        <w:r>
          <w:rPr>
            <w:webHidden/>
          </w:rPr>
          <w:tab/>
        </w:r>
        <w:r>
          <w:rPr>
            <w:webHidden/>
          </w:rPr>
          <w:fldChar w:fldCharType="begin"/>
        </w:r>
        <w:r>
          <w:rPr>
            <w:webHidden/>
          </w:rPr>
          <w:instrText xml:space="preserve"> PAGEREF _Toc168989928 \h </w:instrText>
        </w:r>
        <w:r>
          <w:rPr>
            <w:webHidden/>
          </w:rPr>
        </w:r>
        <w:r>
          <w:rPr>
            <w:webHidden/>
          </w:rPr>
          <w:fldChar w:fldCharType="separate"/>
        </w:r>
        <w:r>
          <w:rPr>
            <w:webHidden/>
          </w:rPr>
          <w:t>7</w:t>
        </w:r>
        <w:r>
          <w:rPr>
            <w:webHidden/>
          </w:rPr>
          <w:fldChar w:fldCharType="end"/>
        </w:r>
      </w:hyperlink>
    </w:p>
    <w:p w14:paraId="6CB78F99" w14:textId="1D60BA5F"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29" w:history="1">
        <w:r w:rsidRPr="001064B9">
          <w:rPr>
            <w:rStyle w:val="Hyperlink"/>
          </w:rPr>
          <w:t>8.</w:t>
        </w:r>
        <w:r>
          <w:rPr>
            <w:rFonts w:asciiTheme="minorHAnsi" w:eastAsiaTheme="minorEastAsia" w:hAnsiTheme="minorHAnsi" w:cstheme="minorBidi"/>
            <w:color w:val="auto"/>
            <w:kern w:val="2"/>
            <w:szCs w:val="24"/>
            <w:lang w:eastAsia="en-GB"/>
            <w14:ligatures w14:val="standardContextual"/>
          </w:rPr>
          <w:tab/>
        </w:r>
        <w:r w:rsidRPr="001064B9">
          <w:rPr>
            <w:rStyle w:val="Hyperlink"/>
          </w:rPr>
          <w:t>Timescales</w:t>
        </w:r>
        <w:r>
          <w:rPr>
            <w:webHidden/>
          </w:rPr>
          <w:tab/>
        </w:r>
        <w:r>
          <w:rPr>
            <w:webHidden/>
          </w:rPr>
          <w:fldChar w:fldCharType="begin"/>
        </w:r>
        <w:r>
          <w:rPr>
            <w:webHidden/>
          </w:rPr>
          <w:instrText xml:space="preserve"> PAGEREF _Toc168989929 \h </w:instrText>
        </w:r>
        <w:r>
          <w:rPr>
            <w:webHidden/>
          </w:rPr>
        </w:r>
        <w:r>
          <w:rPr>
            <w:webHidden/>
          </w:rPr>
          <w:fldChar w:fldCharType="separate"/>
        </w:r>
        <w:r>
          <w:rPr>
            <w:webHidden/>
          </w:rPr>
          <w:t>8</w:t>
        </w:r>
        <w:r>
          <w:rPr>
            <w:webHidden/>
          </w:rPr>
          <w:fldChar w:fldCharType="end"/>
        </w:r>
      </w:hyperlink>
    </w:p>
    <w:p w14:paraId="590CCB0E" w14:textId="22E2CE30"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30" w:history="1">
        <w:r w:rsidRPr="001064B9">
          <w:rPr>
            <w:rStyle w:val="Hyperlink"/>
          </w:rPr>
          <w:t>9.</w:t>
        </w:r>
        <w:r>
          <w:rPr>
            <w:rFonts w:asciiTheme="minorHAnsi" w:eastAsiaTheme="minorEastAsia" w:hAnsiTheme="minorHAnsi" w:cstheme="minorBidi"/>
            <w:color w:val="auto"/>
            <w:kern w:val="2"/>
            <w:szCs w:val="24"/>
            <w:lang w:eastAsia="en-GB"/>
            <w14:ligatures w14:val="standardContextual"/>
          </w:rPr>
          <w:tab/>
        </w:r>
        <w:r w:rsidRPr="001064B9">
          <w:rPr>
            <w:rStyle w:val="Hyperlink"/>
          </w:rPr>
          <w:t>Complaint Stages</w:t>
        </w:r>
        <w:r>
          <w:rPr>
            <w:webHidden/>
          </w:rPr>
          <w:tab/>
        </w:r>
        <w:r>
          <w:rPr>
            <w:webHidden/>
          </w:rPr>
          <w:fldChar w:fldCharType="begin"/>
        </w:r>
        <w:r>
          <w:rPr>
            <w:webHidden/>
          </w:rPr>
          <w:instrText xml:space="preserve"> PAGEREF _Toc168989930 \h </w:instrText>
        </w:r>
        <w:r>
          <w:rPr>
            <w:webHidden/>
          </w:rPr>
        </w:r>
        <w:r>
          <w:rPr>
            <w:webHidden/>
          </w:rPr>
          <w:fldChar w:fldCharType="separate"/>
        </w:r>
        <w:r>
          <w:rPr>
            <w:webHidden/>
          </w:rPr>
          <w:t>8</w:t>
        </w:r>
        <w:r>
          <w:rPr>
            <w:webHidden/>
          </w:rPr>
          <w:fldChar w:fldCharType="end"/>
        </w:r>
      </w:hyperlink>
    </w:p>
    <w:p w14:paraId="5AD6B645" w14:textId="63EF6EE9" w:rsidR="009118CA" w:rsidRDefault="009118CA">
      <w:pPr>
        <w:pStyle w:val="TOC2"/>
        <w:rPr>
          <w:rFonts w:asciiTheme="minorHAnsi" w:eastAsiaTheme="minorEastAsia" w:hAnsiTheme="minorHAnsi" w:cstheme="minorBidi"/>
          <w:color w:val="auto"/>
          <w:kern w:val="2"/>
          <w:szCs w:val="24"/>
          <w:lang w:eastAsia="en-GB"/>
          <w14:ligatures w14:val="standardContextual"/>
        </w:rPr>
      </w:pPr>
      <w:hyperlink w:anchor="_Toc168989931" w:history="1">
        <w:r w:rsidRPr="001064B9">
          <w:rPr>
            <w:rStyle w:val="Hyperlink"/>
          </w:rPr>
          <w:t>9.1</w:t>
        </w:r>
        <w:r>
          <w:rPr>
            <w:rFonts w:asciiTheme="minorHAnsi" w:eastAsiaTheme="minorEastAsia" w:hAnsiTheme="minorHAnsi" w:cstheme="minorBidi"/>
            <w:color w:val="auto"/>
            <w:kern w:val="2"/>
            <w:szCs w:val="24"/>
            <w:lang w:eastAsia="en-GB"/>
            <w14:ligatures w14:val="standardContextual"/>
          </w:rPr>
          <w:tab/>
        </w:r>
        <w:r w:rsidRPr="001064B9">
          <w:rPr>
            <w:rStyle w:val="Hyperlink"/>
          </w:rPr>
          <w:t>Stage 1 - Complaints Investigation</w:t>
        </w:r>
        <w:r>
          <w:rPr>
            <w:webHidden/>
          </w:rPr>
          <w:tab/>
        </w:r>
        <w:r>
          <w:rPr>
            <w:webHidden/>
          </w:rPr>
          <w:fldChar w:fldCharType="begin"/>
        </w:r>
        <w:r>
          <w:rPr>
            <w:webHidden/>
          </w:rPr>
          <w:instrText xml:space="preserve"> PAGEREF _Toc168989931 \h </w:instrText>
        </w:r>
        <w:r>
          <w:rPr>
            <w:webHidden/>
          </w:rPr>
        </w:r>
        <w:r>
          <w:rPr>
            <w:webHidden/>
          </w:rPr>
          <w:fldChar w:fldCharType="separate"/>
        </w:r>
        <w:r>
          <w:rPr>
            <w:webHidden/>
          </w:rPr>
          <w:t>8</w:t>
        </w:r>
        <w:r>
          <w:rPr>
            <w:webHidden/>
          </w:rPr>
          <w:fldChar w:fldCharType="end"/>
        </w:r>
      </w:hyperlink>
    </w:p>
    <w:p w14:paraId="7A1B5B44" w14:textId="47642017" w:rsidR="009118CA" w:rsidRDefault="009118CA">
      <w:pPr>
        <w:pStyle w:val="TOC2"/>
        <w:rPr>
          <w:rFonts w:asciiTheme="minorHAnsi" w:eastAsiaTheme="minorEastAsia" w:hAnsiTheme="minorHAnsi" w:cstheme="minorBidi"/>
          <w:color w:val="auto"/>
          <w:kern w:val="2"/>
          <w:szCs w:val="24"/>
          <w:lang w:eastAsia="en-GB"/>
          <w14:ligatures w14:val="standardContextual"/>
        </w:rPr>
      </w:pPr>
      <w:hyperlink w:anchor="_Toc168989932" w:history="1">
        <w:r w:rsidRPr="001064B9">
          <w:rPr>
            <w:rStyle w:val="Hyperlink"/>
          </w:rPr>
          <w:t>9.2</w:t>
        </w:r>
        <w:r>
          <w:rPr>
            <w:rFonts w:asciiTheme="minorHAnsi" w:eastAsiaTheme="minorEastAsia" w:hAnsiTheme="minorHAnsi" w:cstheme="minorBidi"/>
            <w:color w:val="auto"/>
            <w:kern w:val="2"/>
            <w:szCs w:val="24"/>
            <w:lang w:eastAsia="en-GB"/>
            <w14:ligatures w14:val="standardContextual"/>
          </w:rPr>
          <w:tab/>
        </w:r>
        <w:r w:rsidRPr="001064B9">
          <w:rPr>
            <w:rStyle w:val="Hyperlink"/>
          </w:rPr>
          <w:t>Stage 2 - Review</w:t>
        </w:r>
        <w:r>
          <w:rPr>
            <w:webHidden/>
          </w:rPr>
          <w:tab/>
        </w:r>
        <w:r>
          <w:rPr>
            <w:webHidden/>
          </w:rPr>
          <w:fldChar w:fldCharType="begin"/>
        </w:r>
        <w:r>
          <w:rPr>
            <w:webHidden/>
          </w:rPr>
          <w:instrText xml:space="preserve"> PAGEREF _Toc168989932 \h </w:instrText>
        </w:r>
        <w:r>
          <w:rPr>
            <w:webHidden/>
          </w:rPr>
        </w:r>
        <w:r>
          <w:rPr>
            <w:webHidden/>
          </w:rPr>
          <w:fldChar w:fldCharType="separate"/>
        </w:r>
        <w:r>
          <w:rPr>
            <w:webHidden/>
          </w:rPr>
          <w:t>10</w:t>
        </w:r>
        <w:r>
          <w:rPr>
            <w:webHidden/>
          </w:rPr>
          <w:fldChar w:fldCharType="end"/>
        </w:r>
      </w:hyperlink>
    </w:p>
    <w:p w14:paraId="0689369E" w14:textId="3C5A804C"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33" w:history="1">
        <w:r w:rsidRPr="001064B9">
          <w:rPr>
            <w:rStyle w:val="Hyperlink"/>
          </w:rPr>
          <w:t>10.</w:t>
        </w:r>
        <w:r>
          <w:rPr>
            <w:rFonts w:asciiTheme="minorHAnsi" w:eastAsiaTheme="minorEastAsia" w:hAnsiTheme="minorHAnsi" w:cstheme="minorBidi"/>
            <w:color w:val="auto"/>
            <w:kern w:val="2"/>
            <w:szCs w:val="24"/>
            <w:lang w:eastAsia="en-GB"/>
            <w14:ligatures w14:val="standardContextual"/>
          </w:rPr>
          <w:tab/>
        </w:r>
        <w:r w:rsidRPr="001064B9">
          <w:rPr>
            <w:rStyle w:val="Hyperlink"/>
          </w:rPr>
          <w:t>Outcomes and remedies</w:t>
        </w:r>
        <w:r>
          <w:rPr>
            <w:webHidden/>
          </w:rPr>
          <w:tab/>
        </w:r>
        <w:r>
          <w:rPr>
            <w:webHidden/>
          </w:rPr>
          <w:fldChar w:fldCharType="begin"/>
        </w:r>
        <w:r>
          <w:rPr>
            <w:webHidden/>
          </w:rPr>
          <w:instrText xml:space="preserve"> PAGEREF _Toc168989933 \h </w:instrText>
        </w:r>
        <w:r>
          <w:rPr>
            <w:webHidden/>
          </w:rPr>
        </w:r>
        <w:r>
          <w:rPr>
            <w:webHidden/>
          </w:rPr>
          <w:fldChar w:fldCharType="separate"/>
        </w:r>
        <w:r>
          <w:rPr>
            <w:webHidden/>
          </w:rPr>
          <w:t>11</w:t>
        </w:r>
        <w:r>
          <w:rPr>
            <w:webHidden/>
          </w:rPr>
          <w:fldChar w:fldCharType="end"/>
        </w:r>
      </w:hyperlink>
    </w:p>
    <w:p w14:paraId="59010910" w14:textId="51E2951F"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34" w:history="1">
        <w:r w:rsidRPr="001064B9">
          <w:rPr>
            <w:rStyle w:val="Hyperlink"/>
          </w:rPr>
          <w:t>11.</w:t>
        </w:r>
        <w:r>
          <w:rPr>
            <w:rFonts w:asciiTheme="minorHAnsi" w:eastAsiaTheme="minorEastAsia" w:hAnsiTheme="minorHAnsi" w:cstheme="minorBidi"/>
            <w:color w:val="auto"/>
            <w:kern w:val="2"/>
            <w:szCs w:val="24"/>
            <w:lang w:eastAsia="en-GB"/>
            <w14:ligatures w14:val="standardContextual"/>
          </w:rPr>
          <w:tab/>
        </w:r>
        <w:r w:rsidRPr="001064B9">
          <w:rPr>
            <w:rStyle w:val="Hyperlink"/>
          </w:rPr>
          <w:t>Beyond the Complaints Policy</w:t>
        </w:r>
        <w:r>
          <w:rPr>
            <w:webHidden/>
          </w:rPr>
          <w:tab/>
        </w:r>
        <w:r>
          <w:rPr>
            <w:webHidden/>
          </w:rPr>
          <w:fldChar w:fldCharType="begin"/>
        </w:r>
        <w:r>
          <w:rPr>
            <w:webHidden/>
          </w:rPr>
          <w:instrText xml:space="preserve"> PAGEREF _Toc168989934 \h </w:instrText>
        </w:r>
        <w:r>
          <w:rPr>
            <w:webHidden/>
          </w:rPr>
        </w:r>
        <w:r>
          <w:rPr>
            <w:webHidden/>
          </w:rPr>
          <w:fldChar w:fldCharType="separate"/>
        </w:r>
        <w:r>
          <w:rPr>
            <w:webHidden/>
          </w:rPr>
          <w:t>12</w:t>
        </w:r>
        <w:r>
          <w:rPr>
            <w:webHidden/>
          </w:rPr>
          <w:fldChar w:fldCharType="end"/>
        </w:r>
      </w:hyperlink>
    </w:p>
    <w:p w14:paraId="17C59776" w14:textId="6C40BF07"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35" w:history="1">
        <w:r w:rsidRPr="001064B9">
          <w:rPr>
            <w:rStyle w:val="Hyperlink"/>
          </w:rPr>
          <w:t>12.</w:t>
        </w:r>
        <w:r>
          <w:rPr>
            <w:rFonts w:asciiTheme="minorHAnsi" w:eastAsiaTheme="minorEastAsia" w:hAnsiTheme="minorHAnsi" w:cstheme="minorBidi"/>
            <w:color w:val="auto"/>
            <w:kern w:val="2"/>
            <w:szCs w:val="24"/>
            <w:lang w:eastAsia="en-GB"/>
            <w14:ligatures w14:val="standardContextual"/>
          </w:rPr>
          <w:tab/>
        </w:r>
        <w:r w:rsidRPr="001064B9">
          <w:rPr>
            <w:rStyle w:val="Hyperlink"/>
          </w:rPr>
          <w:t>Petitions</w:t>
        </w:r>
        <w:r>
          <w:rPr>
            <w:webHidden/>
          </w:rPr>
          <w:tab/>
        </w:r>
        <w:r>
          <w:rPr>
            <w:webHidden/>
          </w:rPr>
          <w:fldChar w:fldCharType="begin"/>
        </w:r>
        <w:r>
          <w:rPr>
            <w:webHidden/>
          </w:rPr>
          <w:instrText xml:space="preserve"> PAGEREF _Toc168989935 \h </w:instrText>
        </w:r>
        <w:r>
          <w:rPr>
            <w:webHidden/>
          </w:rPr>
        </w:r>
        <w:r>
          <w:rPr>
            <w:webHidden/>
          </w:rPr>
          <w:fldChar w:fldCharType="separate"/>
        </w:r>
        <w:r>
          <w:rPr>
            <w:webHidden/>
          </w:rPr>
          <w:t>12</w:t>
        </w:r>
        <w:r>
          <w:rPr>
            <w:webHidden/>
          </w:rPr>
          <w:fldChar w:fldCharType="end"/>
        </w:r>
      </w:hyperlink>
    </w:p>
    <w:p w14:paraId="12504BE2" w14:textId="6E1FE9F8"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36" w:history="1">
        <w:r w:rsidRPr="001064B9">
          <w:rPr>
            <w:rStyle w:val="Hyperlink"/>
          </w:rPr>
          <w:t>13.</w:t>
        </w:r>
        <w:r>
          <w:rPr>
            <w:rFonts w:asciiTheme="minorHAnsi" w:eastAsiaTheme="minorEastAsia" w:hAnsiTheme="minorHAnsi" w:cstheme="minorBidi"/>
            <w:color w:val="auto"/>
            <w:kern w:val="2"/>
            <w:szCs w:val="24"/>
            <w:lang w:eastAsia="en-GB"/>
            <w14:ligatures w14:val="standardContextual"/>
          </w:rPr>
          <w:tab/>
        </w:r>
        <w:r w:rsidRPr="001064B9">
          <w:rPr>
            <w:rStyle w:val="Hyperlink"/>
          </w:rPr>
          <w:t>Continuous learning and improvement</w:t>
        </w:r>
        <w:r>
          <w:rPr>
            <w:webHidden/>
          </w:rPr>
          <w:tab/>
        </w:r>
        <w:r>
          <w:rPr>
            <w:webHidden/>
          </w:rPr>
          <w:fldChar w:fldCharType="begin"/>
        </w:r>
        <w:r>
          <w:rPr>
            <w:webHidden/>
          </w:rPr>
          <w:instrText xml:space="preserve"> PAGEREF _Toc168989936 \h </w:instrText>
        </w:r>
        <w:r>
          <w:rPr>
            <w:webHidden/>
          </w:rPr>
        </w:r>
        <w:r>
          <w:rPr>
            <w:webHidden/>
          </w:rPr>
          <w:fldChar w:fldCharType="separate"/>
        </w:r>
        <w:r>
          <w:rPr>
            <w:webHidden/>
          </w:rPr>
          <w:t>13</w:t>
        </w:r>
        <w:r>
          <w:rPr>
            <w:webHidden/>
          </w:rPr>
          <w:fldChar w:fldCharType="end"/>
        </w:r>
      </w:hyperlink>
    </w:p>
    <w:p w14:paraId="2D7BD18E" w14:textId="4E29D012"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37" w:history="1">
        <w:r w:rsidRPr="001064B9">
          <w:rPr>
            <w:rStyle w:val="Hyperlink"/>
          </w:rPr>
          <w:t>14.</w:t>
        </w:r>
        <w:r>
          <w:rPr>
            <w:rFonts w:asciiTheme="minorHAnsi" w:eastAsiaTheme="minorEastAsia" w:hAnsiTheme="minorHAnsi" w:cstheme="minorBidi"/>
            <w:color w:val="auto"/>
            <w:kern w:val="2"/>
            <w:szCs w:val="24"/>
            <w:lang w:eastAsia="en-GB"/>
            <w14:ligatures w14:val="standardContextual"/>
          </w:rPr>
          <w:tab/>
        </w:r>
        <w:r w:rsidRPr="001064B9">
          <w:rPr>
            <w:rStyle w:val="Hyperlink"/>
          </w:rPr>
          <w:t>Scrutiny &amp; oversight</w:t>
        </w:r>
        <w:r>
          <w:rPr>
            <w:webHidden/>
          </w:rPr>
          <w:tab/>
        </w:r>
        <w:r>
          <w:rPr>
            <w:webHidden/>
          </w:rPr>
          <w:fldChar w:fldCharType="begin"/>
        </w:r>
        <w:r>
          <w:rPr>
            <w:webHidden/>
          </w:rPr>
          <w:instrText xml:space="preserve"> PAGEREF _Toc168989937 \h </w:instrText>
        </w:r>
        <w:r>
          <w:rPr>
            <w:webHidden/>
          </w:rPr>
        </w:r>
        <w:r>
          <w:rPr>
            <w:webHidden/>
          </w:rPr>
          <w:fldChar w:fldCharType="separate"/>
        </w:r>
        <w:r>
          <w:rPr>
            <w:webHidden/>
          </w:rPr>
          <w:t>13</w:t>
        </w:r>
        <w:r>
          <w:rPr>
            <w:webHidden/>
          </w:rPr>
          <w:fldChar w:fldCharType="end"/>
        </w:r>
      </w:hyperlink>
    </w:p>
    <w:p w14:paraId="0222EDC3" w14:textId="7D2DF44A" w:rsidR="009118CA" w:rsidRDefault="009118CA">
      <w:pPr>
        <w:pStyle w:val="TOC2"/>
        <w:rPr>
          <w:rFonts w:asciiTheme="minorHAnsi" w:eastAsiaTheme="minorEastAsia" w:hAnsiTheme="minorHAnsi" w:cstheme="minorBidi"/>
          <w:color w:val="auto"/>
          <w:kern w:val="2"/>
          <w:szCs w:val="24"/>
          <w:lang w:eastAsia="en-GB"/>
          <w14:ligatures w14:val="standardContextual"/>
        </w:rPr>
      </w:pPr>
      <w:hyperlink w:anchor="_Toc168989938" w:history="1">
        <w:r w:rsidRPr="001064B9">
          <w:rPr>
            <w:rStyle w:val="Hyperlink"/>
          </w:rPr>
          <w:t>14.1</w:t>
        </w:r>
        <w:r>
          <w:rPr>
            <w:rFonts w:asciiTheme="minorHAnsi" w:eastAsiaTheme="minorEastAsia" w:hAnsiTheme="minorHAnsi" w:cstheme="minorBidi"/>
            <w:color w:val="auto"/>
            <w:kern w:val="2"/>
            <w:szCs w:val="24"/>
            <w:lang w:eastAsia="en-GB"/>
            <w14:ligatures w14:val="standardContextual"/>
          </w:rPr>
          <w:tab/>
        </w:r>
        <w:r w:rsidRPr="001064B9">
          <w:rPr>
            <w:rStyle w:val="Hyperlink"/>
          </w:rPr>
          <w:t>Reporting</w:t>
        </w:r>
        <w:r>
          <w:rPr>
            <w:webHidden/>
          </w:rPr>
          <w:tab/>
        </w:r>
        <w:r>
          <w:rPr>
            <w:webHidden/>
          </w:rPr>
          <w:fldChar w:fldCharType="begin"/>
        </w:r>
        <w:r>
          <w:rPr>
            <w:webHidden/>
          </w:rPr>
          <w:instrText xml:space="preserve"> PAGEREF _Toc168989938 \h </w:instrText>
        </w:r>
        <w:r>
          <w:rPr>
            <w:webHidden/>
          </w:rPr>
        </w:r>
        <w:r>
          <w:rPr>
            <w:webHidden/>
          </w:rPr>
          <w:fldChar w:fldCharType="separate"/>
        </w:r>
        <w:r>
          <w:rPr>
            <w:webHidden/>
          </w:rPr>
          <w:t>14</w:t>
        </w:r>
        <w:r>
          <w:rPr>
            <w:webHidden/>
          </w:rPr>
          <w:fldChar w:fldCharType="end"/>
        </w:r>
      </w:hyperlink>
    </w:p>
    <w:p w14:paraId="1107F5A9" w14:textId="78828D5B" w:rsidR="009118CA" w:rsidRDefault="009118CA">
      <w:pPr>
        <w:pStyle w:val="TOC2"/>
        <w:rPr>
          <w:rFonts w:asciiTheme="minorHAnsi" w:eastAsiaTheme="minorEastAsia" w:hAnsiTheme="minorHAnsi" w:cstheme="minorBidi"/>
          <w:color w:val="auto"/>
          <w:kern w:val="2"/>
          <w:szCs w:val="24"/>
          <w:lang w:eastAsia="en-GB"/>
          <w14:ligatures w14:val="standardContextual"/>
        </w:rPr>
      </w:pPr>
      <w:hyperlink w:anchor="_Toc168989939" w:history="1">
        <w:r w:rsidRPr="001064B9">
          <w:rPr>
            <w:rStyle w:val="Hyperlink"/>
          </w:rPr>
          <w:t>14.2</w:t>
        </w:r>
        <w:r>
          <w:rPr>
            <w:rFonts w:asciiTheme="minorHAnsi" w:eastAsiaTheme="minorEastAsia" w:hAnsiTheme="minorHAnsi" w:cstheme="minorBidi"/>
            <w:color w:val="auto"/>
            <w:kern w:val="2"/>
            <w:szCs w:val="24"/>
            <w:lang w:eastAsia="en-GB"/>
            <w14:ligatures w14:val="standardContextual"/>
          </w:rPr>
          <w:tab/>
        </w:r>
        <w:r w:rsidRPr="001064B9">
          <w:rPr>
            <w:rStyle w:val="Hyperlink"/>
          </w:rPr>
          <w:t>Accountable person for complaint handling</w:t>
        </w:r>
        <w:r>
          <w:rPr>
            <w:webHidden/>
          </w:rPr>
          <w:tab/>
        </w:r>
        <w:r>
          <w:rPr>
            <w:webHidden/>
          </w:rPr>
          <w:fldChar w:fldCharType="begin"/>
        </w:r>
        <w:r>
          <w:rPr>
            <w:webHidden/>
          </w:rPr>
          <w:instrText xml:space="preserve"> PAGEREF _Toc168989939 \h </w:instrText>
        </w:r>
        <w:r>
          <w:rPr>
            <w:webHidden/>
          </w:rPr>
        </w:r>
        <w:r>
          <w:rPr>
            <w:webHidden/>
          </w:rPr>
          <w:fldChar w:fldCharType="separate"/>
        </w:r>
        <w:r>
          <w:rPr>
            <w:webHidden/>
          </w:rPr>
          <w:t>14</w:t>
        </w:r>
        <w:r>
          <w:rPr>
            <w:webHidden/>
          </w:rPr>
          <w:fldChar w:fldCharType="end"/>
        </w:r>
      </w:hyperlink>
    </w:p>
    <w:p w14:paraId="79680120" w14:textId="6E9E7E4E" w:rsidR="009118CA" w:rsidRDefault="009118CA">
      <w:pPr>
        <w:pStyle w:val="TOC2"/>
        <w:rPr>
          <w:rFonts w:asciiTheme="minorHAnsi" w:eastAsiaTheme="minorEastAsia" w:hAnsiTheme="minorHAnsi" w:cstheme="minorBidi"/>
          <w:color w:val="auto"/>
          <w:kern w:val="2"/>
          <w:szCs w:val="24"/>
          <w:lang w:eastAsia="en-GB"/>
          <w14:ligatures w14:val="standardContextual"/>
        </w:rPr>
      </w:pPr>
      <w:hyperlink w:anchor="_Toc168989940" w:history="1">
        <w:r w:rsidRPr="001064B9">
          <w:rPr>
            <w:rStyle w:val="Hyperlink"/>
          </w:rPr>
          <w:t>14.3</w:t>
        </w:r>
        <w:r>
          <w:rPr>
            <w:rFonts w:asciiTheme="minorHAnsi" w:eastAsiaTheme="minorEastAsia" w:hAnsiTheme="minorHAnsi" w:cstheme="minorBidi"/>
            <w:color w:val="auto"/>
            <w:kern w:val="2"/>
            <w:szCs w:val="24"/>
            <w:lang w:eastAsia="en-GB"/>
            <w14:ligatures w14:val="standardContextual"/>
          </w:rPr>
          <w:tab/>
        </w:r>
        <w:r w:rsidRPr="001064B9">
          <w:rPr>
            <w:rStyle w:val="Hyperlink"/>
          </w:rPr>
          <w:t>Member Responsible for Complaints (MRC)</w:t>
        </w:r>
        <w:r>
          <w:rPr>
            <w:webHidden/>
          </w:rPr>
          <w:tab/>
        </w:r>
        <w:r>
          <w:rPr>
            <w:webHidden/>
          </w:rPr>
          <w:fldChar w:fldCharType="begin"/>
        </w:r>
        <w:r>
          <w:rPr>
            <w:webHidden/>
          </w:rPr>
          <w:instrText xml:space="preserve"> PAGEREF _Toc168989940 \h </w:instrText>
        </w:r>
        <w:r>
          <w:rPr>
            <w:webHidden/>
          </w:rPr>
        </w:r>
        <w:r>
          <w:rPr>
            <w:webHidden/>
          </w:rPr>
          <w:fldChar w:fldCharType="separate"/>
        </w:r>
        <w:r>
          <w:rPr>
            <w:webHidden/>
          </w:rPr>
          <w:t>14</w:t>
        </w:r>
        <w:r>
          <w:rPr>
            <w:webHidden/>
          </w:rPr>
          <w:fldChar w:fldCharType="end"/>
        </w:r>
      </w:hyperlink>
    </w:p>
    <w:p w14:paraId="26002A54" w14:textId="20F42DE9"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41" w:history="1">
        <w:r w:rsidRPr="001064B9">
          <w:rPr>
            <w:rStyle w:val="Hyperlink"/>
          </w:rPr>
          <w:t>15.</w:t>
        </w:r>
        <w:r>
          <w:rPr>
            <w:rFonts w:asciiTheme="minorHAnsi" w:eastAsiaTheme="minorEastAsia" w:hAnsiTheme="minorHAnsi" w:cstheme="minorBidi"/>
            <w:color w:val="auto"/>
            <w:kern w:val="2"/>
            <w:szCs w:val="24"/>
            <w:lang w:eastAsia="en-GB"/>
            <w14:ligatures w14:val="standardContextual"/>
          </w:rPr>
          <w:tab/>
        </w:r>
        <w:r w:rsidRPr="001064B9">
          <w:rPr>
            <w:rStyle w:val="Hyperlink"/>
          </w:rPr>
          <w:t>Consultation and tenant involvement</w:t>
        </w:r>
        <w:r>
          <w:rPr>
            <w:webHidden/>
          </w:rPr>
          <w:tab/>
        </w:r>
        <w:r>
          <w:rPr>
            <w:webHidden/>
          </w:rPr>
          <w:fldChar w:fldCharType="begin"/>
        </w:r>
        <w:r>
          <w:rPr>
            <w:webHidden/>
          </w:rPr>
          <w:instrText xml:space="preserve"> PAGEREF _Toc168989941 \h </w:instrText>
        </w:r>
        <w:r>
          <w:rPr>
            <w:webHidden/>
          </w:rPr>
        </w:r>
        <w:r>
          <w:rPr>
            <w:webHidden/>
          </w:rPr>
          <w:fldChar w:fldCharType="separate"/>
        </w:r>
        <w:r>
          <w:rPr>
            <w:webHidden/>
          </w:rPr>
          <w:t>14</w:t>
        </w:r>
        <w:r>
          <w:rPr>
            <w:webHidden/>
          </w:rPr>
          <w:fldChar w:fldCharType="end"/>
        </w:r>
      </w:hyperlink>
    </w:p>
    <w:p w14:paraId="6F649C2C" w14:textId="181D3608" w:rsidR="009118CA" w:rsidRDefault="009118CA">
      <w:pPr>
        <w:pStyle w:val="TOC1"/>
        <w:rPr>
          <w:rFonts w:asciiTheme="minorHAnsi" w:eastAsiaTheme="minorEastAsia" w:hAnsiTheme="minorHAnsi" w:cstheme="minorBidi"/>
          <w:color w:val="auto"/>
          <w:kern w:val="2"/>
          <w:szCs w:val="24"/>
          <w:lang w:eastAsia="en-GB"/>
          <w14:ligatures w14:val="standardContextual"/>
        </w:rPr>
      </w:pPr>
      <w:hyperlink w:anchor="_Toc168989942" w:history="1">
        <w:r w:rsidRPr="001064B9">
          <w:rPr>
            <w:rStyle w:val="Hyperlink"/>
          </w:rPr>
          <w:t>16.</w:t>
        </w:r>
        <w:r>
          <w:rPr>
            <w:rFonts w:asciiTheme="minorHAnsi" w:eastAsiaTheme="minorEastAsia" w:hAnsiTheme="minorHAnsi" w:cstheme="minorBidi"/>
            <w:color w:val="auto"/>
            <w:kern w:val="2"/>
            <w:szCs w:val="24"/>
            <w:lang w:eastAsia="en-GB"/>
            <w14:ligatures w14:val="standardContextual"/>
          </w:rPr>
          <w:tab/>
        </w:r>
        <w:r w:rsidRPr="001064B9">
          <w:rPr>
            <w:rStyle w:val="Hyperlink"/>
          </w:rPr>
          <w:t>Reasonable Adjustment Policy</w:t>
        </w:r>
        <w:r>
          <w:rPr>
            <w:webHidden/>
          </w:rPr>
          <w:tab/>
        </w:r>
        <w:r>
          <w:rPr>
            <w:webHidden/>
          </w:rPr>
          <w:fldChar w:fldCharType="begin"/>
        </w:r>
        <w:r>
          <w:rPr>
            <w:webHidden/>
          </w:rPr>
          <w:instrText xml:space="preserve"> PAGEREF _Toc168989942 \h </w:instrText>
        </w:r>
        <w:r>
          <w:rPr>
            <w:webHidden/>
          </w:rPr>
        </w:r>
        <w:r>
          <w:rPr>
            <w:webHidden/>
          </w:rPr>
          <w:fldChar w:fldCharType="separate"/>
        </w:r>
        <w:r>
          <w:rPr>
            <w:webHidden/>
          </w:rPr>
          <w:t>15</w:t>
        </w:r>
        <w:r>
          <w:rPr>
            <w:webHidden/>
          </w:rPr>
          <w:fldChar w:fldCharType="end"/>
        </w:r>
      </w:hyperlink>
    </w:p>
    <w:p w14:paraId="1A20DF64" w14:textId="01C84504" w:rsidR="001344F6" w:rsidRDefault="001344F6" w:rsidP="001344F6">
      <w:r w:rsidRPr="00777D19">
        <w:fldChar w:fldCharType="end"/>
      </w:r>
    </w:p>
    <w:p w14:paraId="1CE9C671" w14:textId="77777777" w:rsidR="00DC0AA1" w:rsidRPr="002926FB" w:rsidRDefault="00DC0AA1" w:rsidP="00DC1BF1">
      <w:r>
        <w:br w:type="page"/>
      </w:r>
    </w:p>
    <w:p w14:paraId="502A186D" w14:textId="77777777" w:rsidR="00BD6756" w:rsidRDefault="00BD6756" w:rsidP="00BD6756">
      <w:pPr>
        <w:pStyle w:val="Heading1"/>
      </w:pPr>
      <w:bookmarkStart w:id="0" w:name="_Toc168989920"/>
      <w:r>
        <w:lastRenderedPageBreak/>
        <w:t>Introduction</w:t>
      </w:r>
      <w:bookmarkEnd w:id="0"/>
    </w:p>
    <w:p w14:paraId="3C5555A0" w14:textId="0C21517C" w:rsidR="00B101A2" w:rsidRDefault="00BD6756" w:rsidP="00BD6756">
      <w:r w:rsidRPr="00AE16BC">
        <w:t xml:space="preserve">This policy sets out how </w:t>
      </w:r>
      <w:r w:rsidR="00FA2CB4">
        <w:t>L</w:t>
      </w:r>
      <w:r w:rsidR="00C706DF">
        <w:t xml:space="preserve">ondon </w:t>
      </w:r>
      <w:r w:rsidR="00FA2CB4">
        <w:t>B</w:t>
      </w:r>
      <w:r w:rsidR="00C706DF">
        <w:t xml:space="preserve">rough of </w:t>
      </w:r>
      <w:r w:rsidR="00FA2CB4">
        <w:t>T</w:t>
      </w:r>
      <w:r w:rsidR="00C706DF">
        <w:t xml:space="preserve">ower </w:t>
      </w:r>
      <w:r w:rsidR="00FA2CB4">
        <w:t>H</w:t>
      </w:r>
      <w:r w:rsidR="00C706DF">
        <w:t>amlets (LBTH)</w:t>
      </w:r>
      <w:r w:rsidRPr="00AE16BC">
        <w:t xml:space="preserve"> will manage and resolve complaints</w:t>
      </w:r>
      <w:r w:rsidR="00145570">
        <w:t xml:space="preserve"> related to how it delivers housing management services</w:t>
      </w:r>
      <w:r w:rsidRPr="00AE16BC">
        <w:t>.</w:t>
      </w:r>
    </w:p>
    <w:p w14:paraId="77D5586A" w14:textId="77777777" w:rsidR="00B101A2" w:rsidRPr="00145570" w:rsidRDefault="00B101A2" w:rsidP="00145570">
      <w:pPr>
        <w:pStyle w:val="Footer"/>
      </w:pPr>
    </w:p>
    <w:p w14:paraId="7020442E" w14:textId="77777777" w:rsidR="00BD6756" w:rsidRDefault="00BD6756" w:rsidP="00BD6756">
      <w:pPr>
        <w:pStyle w:val="Heading1"/>
      </w:pPr>
      <w:bookmarkStart w:id="1" w:name="_Toc168989921"/>
      <w:r>
        <w:t>Purpose and aim</w:t>
      </w:r>
      <w:bookmarkEnd w:id="1"/>
    </w:p>
    <w:p w14:paraId="20E48C67" w14:textId="0C88974F" w:rsidR="00BD6756" w:rsidRPr="00AE16BC" w:rsidRDefault="00BD6756" w:rsidP="00BD6756">
      <w:r w:rsidRPr="00AE16BC">
        <w:t>The purpose of this policy is to set out our approach to</w:t>
      </w:r>
      <w:r w:rsidR="00CD35AF">
        <w:t xml:space="preserve"> </w:t>
      </w:r>
      <w:r w:rsidR="00906C9A">
        <w:t>handling complaints from council tenants and leaseholders</w:t>
      </w:r>
      <w:r w:rsidR="00806195">
        <w:t xml:space="preserve"> and </w:t>
      </w:r>
      <w:r w:rsidR="00806195" w:rsidRPr="00AE16BC">
        <w:t>resolving disputes</w:t>
      </w:r>
      <w:r w:rsidR="00806195">
        <w:t xml:space="preserve"> on</w:t>
      </w:r>
      <w:r w:rsidR="00906C9A">
        <w:t xml:space="preserve"> </w:t>
      </w:r>
      <w:r w:rsidR="00CD35AF">
        <w:t>housing management</w:t>
      </w:r>
      <w:r w:rsidR="00806195">
        <w:t xml:space="preserve"> issues</w:t>
      </w:r>
      <w:r w:rsidRPr="00AE16BC">
        <w:t>.</w:t>
      </w:r>
    </w:p>
    <w:p w14:paraId="2B411E20" w14:textId="3EAAD1A5" w:rsidR="005A08B7" w:rsidRDefault="00134C12" w:rsidP="00BD6756">
      <w:r>
        <w:t>The Council</w:t>
      </w:r>
      <w:r w:rsidR="00BD6756" w:rsidRPr="00AE16BC">
        <w:t xml:space="preserve"> is committed to providing excellent levels of customer care and aims to deliver a positive customer experience. When things go wrong, we aim to provide an early resolution to prevent a complaint and respond speedily to put the issue right. </w:t>
      </w:r>
    </w:p>
    <w:p w14:paraId="7AEB1046" w14:textId="09FC331A" w:rsidR="00BD6756" w:rsidRPr="00AE16BC" w:rsidRDefault="00BD6756" w:rsidP="00BD6756">
      <w:r w:rsidRPr="00AE16BC">
        <w:t xml:space="preserve">This policy aims to provide customers, </w:t>
      </w:r>
      <w:r w:rsidR="005E6D0F" w:rsidRPr="00AE16BC">
        <w:t>stakeholders,</w:t>
      </w:r>
      <w:r w:rsidRPr="00AE16BC">
        <w:t xml:space="preserve"> and staff with clear guidance to ensure that the administration and management of complaints is fair and consistent.</w:t>
      </w:r>
    </w:p>
    <w:p w14:paraId="26DC4ADD" w14:textId="77777777" w:rsidR="00BD6756" w:rsidRDefault="00BD6756" w:rsidP="00BD6756">
      <w:r w:rsidRPr="00AE16BC">
        <w:t>As part of our complaints handling procedure, we will:</w:t>
      </w:r>
    </w:p>
    <w:p w14:paraId="6C30B675" w14:textId="77777777" w:rsidR="00BD6756" w:rsidRPr="00AE16BC" w:rsidRDefault="00BD6756" w:rsidP="00BD6756">
      <w:pPr>
        <w:pStyle w:val="ListBullet"/>
      </w:pPr>
      <w:r w:rsidRPr="00AE16BC">
        <w:t>Apologise</w:t>
      </w:r>
    </w:p>
    <w:p w14:paraId="23D48CDC" w14:textId="7467CD7B" w:rsidR="00BD6756" w:rsidRPr="00AE16BC" w:rsidRDefault="00BD6756" w:rsidP="00BD6756">
      <w:pPr>
        <w:pStyle w:val="ListBullet"/>
      </w:pPr>
      <w:r w:rsidRPr="00AE16BC">
        <w:t>Accept responsibility</w:t>
      </w:r>
    </w:p>
    <w:p w14:paraId="01962C66" w14:textId="4D42CB6A" w:rsidR="00D66B94" w:rsidRPr="00AE16BC" w:rsidRDefault="00BD6756" w:rsidP="00C6554E">
      <w:pPr>
        <w:pStyle w:val="ListBullet"/>
      </w:pPr>
      <w:r w:rsidRPr="00AE16BC">
        <w:t xml:space="preserve">Put things right when they are in our </w:t>
      </w:r>
      <w:r w:rsidR="001069D4" w:rsidRPr="00AE16BC">
        <w:t>control</w:t>
      </w:r>
    </w:p>
    <w:p w14:paraId="440B1D73" w14:textId="1682725C" w:rsidR="00BD6756" w:rsidRDefault="00BD6756" w:rsidP="00BD6756">
      <w:pPr>
        <w:pStyle w:val="ListBullet"/>
      </w:pPr>
      <w:r w:rsidRPr="00AE16BC">
        <w:t>Use feedback from complaints to improve services</w:t>
      </w:r>
    </w:p>
    <w:p w14:paraId="6B01F075" w14:textId="77777777" w:rsidR="00022F08" w:rsidRPr="00B90E78" w:rsidRDefault="00022F08" w:rsidP="00B90E78">
      <w:pPr>
        <w:pStyle w:val="Footer"/>
      </w:pPr>
    </w:p>
    <w:p w14:paraId="30F99D92" w14:textId="77777777" w:rsidR="00BD6756" w:rsidRDefault="00BD6756" w:rsidP="00BD6756">
      <w:pPr>
        <w:pStyle w:val="Heading1"/>
      </w:pPr>
      <w:bookmarkStart w:id="2" w:name="_Toc168989922"/>
      <w:r>
        <w:t>What is a complaint?</w:t>
      </w:r>
      <w:bookmarkEnd w:id="2"/>
    </w:p>
    <w:p w14:paraId="731EBA96" w14:textId="7236CDF1" w:rsidR="00BD6756" w:rsidRPr="00AE16BC" w:rsidRDefault="001A65D3" w:rsidP="00BD6756">
      <w:r>
        <w:t>The Council</w:t>
      </w:r>
      <w:r w:rsidR="00BD6756" w:rsidRPr="00AE16BC">
        <w:t xml:space="preserve"> uses the definition of a complaint as provided by the Housing Ombudsman</w:t>
      </w:r>
      <w:r w:rsidR="00A80F67">
        <w:t xml:space="preserve"> (HO)</w:t>
      </w:r>
      <w:r w:rsidR="00BD6756" w:rsidRPr="00AE16BC">
        <w:t>. For the purposes of this policy a complaint shall be defined as:</w:t>
      </w:r>
    </w:p>
    <w:p w14:paraId="3E4FBA94" w14:textId="1AB01091" w:rsidR="00AA6105" w:rsidRPr="00AA6105" w:rsidRDefault="00BD6756" w:rsidP="007A2A4C">
      <w:pPr>
        <w:pStyle w:val="TOC2"/>
      </w:pPr>
      <w:r w:rsidRPr="00AE16BC">
        <w:t>‘an expression of dissatisfaction, however made, about the standard of service, actions or lack of action by</w:t>
      </w:r>
      <w:r w:rsidR="00C706DF">
        <w:t xml:space="preserve"> </w:t>
      </w:r>
      <w:r w:rsidR="00134C12">
        <w:t>the Council</w:t>
      </w:r>
      <w:r w:rsidRPr="00AE16BC">
        <w:t>, its own staff, or those acting on</w:t>
      </w:r>
      <w:r w:rsidR="00D300CD">
        <w:t xml:space="preserve"> </w:t>
      </w:r>
      <w:r w:rsidRPr="00AE16BC">
        <w:t>its behalf, affecting a resident or group of residents’</w:t>
      </w:r>
      <w:r w:rsidR="0058704A">
        <w:t>.</w:t>
      </w:r>
    </w:p>
    <w:p w14:paraId="70D326A4" w14:textId="42C66E30" w:rsidR="00C44820" w:rsidRDefault="00C44820" w:rsidP="001A65D3">
      <w:pPr>
        <w:pStyle w:val="TOC2"/>
        <w:ind w:left="0"/>
      </w:pPr>
      <w:r w:rsidRPr="00C44820">
        <w:t xml:space="preserve">We </w:t>
      </w:r>
      <w:r w:rsidR="008B3046">
        <w:t xml:space="preserve">also </w:t>
      </w:r>
      <w:r w:rsidRPr="00C44820">
        <w:t xml:space="preserve">monitor all feedback from surveys </w:t>
      </w:r>
      <w:r w:rsidR="00327995">
        <w:t xml:space="preserve">about our services </w:t>
      </w:r>
      <w:r w:rsidRPr="00C44820">
        <w:t xml:space="preserve">and escalate </w:t>
      </w:r>
      <w:r w:rsidR="008B3046">
        <w:t xml:space="preserve">any expressions of dissatisfaction </w:t>
      </w:r>
      <w:r w:rsidRPr="00C44820">
        <w:t>where appropriate</w:t>
      </w:r>
      <w:r w:rsidR="003D64C1">
        <w:t xml:space="preserve">. </w:t>
      </w:r>
      <w:r w:rsidR="007D5017">
        <w:t>Our s</w:t>
      </w:r>
      <w:r w:rsidR="003D64C1" w:rsidRPr="003D64C1">
        <w:t>urvey staff are trained on escalation routes</w:t>
      </w:r>
      <w:r w:rsidR="00D26480">
        <w:t xml:space="preserve"> and </w:t>
      </w:r>
      <w:r w:rsidR="004163AD">
        <w:t>provid</w:t>
      </w:r>
      <w:r w:rsidR="00D26480">
        <w:t>e</w:t>
      </w:r>
      <w:r w:rsidR="004163AD">
        <w:t xml:space="preserve"> </w:t>
      </w:r>
      <w:r w:rsidR="0063672B">
        <w:t xml:space="preserve">residents </w:t>
      </w:r>
      <w:r w:rsidR="00B90352">
        <w:t xml:space="preserve">with </w:t>
      </w:r>
      <w:r w:rsidR="004163AD">
        <w:t>details o</w:t>
      </w:r>
      <w:r w:rsidR="00B90352">
        <w:t>n how they</w:t>
      </w:r>
      <w:r w:rsidR="004163AD">
        <w:t xml:space="preserve"> can </w:t>
      </w:r>
      <w:r w:rsidR="00BF074C">
        <w:t>pursue a complaint if they wish to</w:t>
      </w:r>
      <w:r w:rsidR="002609C0">
        <w:t>.</w:t>
      </w:r>
    </w:p>
    <w:p w14:paraId="03C64F64" w14:textId="77777777" w:rsidR="001A65D3" w:rsidRPr="00B90E78" w:rsidRDefault="001A65D3" w:rsidP="00B90E78">
      <w:pPr>
        <w:pStyle w:val="Footer"/>
      </w:pPr>
    </w:p>
    <w:p w14:paraId="0450BDAC" w14:textId="77777777" w:rsidR="00BD6756" w:rsidRDefault="00BD6756" w:rsidP="00BD6756">
      <w:pPr>
        <w:pStyle w:val="Heading1"/>
      </w:pPr>
      <w:bookmarkStart w:id="3" w:name="_Toc168989923"/>
      <w:r>
        <w:t>Who can make a complaint?</w:t>
      </w:r>
      <w:bookmarkEnd w:id="3"/>
    </w:p>
    <w:p w14:paraId="2889224A" w14:textId="1B83BD8D" w:rsidR="00BD6756" w:rsidRDefault="00BD6756" w:rsidP="00BD6756">
      <w:r w:rsidRPr="00AE16BC">
        <w:t>Any</w:t>
      </w:r>
      <w:r w:rsidR="005F727F">
        <w:t>one that is a tenant or a leaseholder (or household member) of the Council</w:t>
      </w:r>
      <w:r w:rsidRPr="00AE16BC">
        <w:t xml:space="preserve"> can make a complaint about the services they receive </w:t>
      </w:r>
      <w:r w:rsidR="005F727F">
        <w:t>through</w:t>
      </w:r>
      <w:r w:rsidRPr="00AE16BC">
        <w:t xml:space="preserve"> </w:t>
      </w:r>
      <w:r w:rsidR="008F0BF0">
        <w:t>the Council</w:t>
      </w:r>
      <w:r w:rsidR="005F727F">
        <w:t>'s Housing Management Services</w:t>
      </w:r>
      <w:r w:rsidRPr="00AE16BC">
        <w:t xml:space="preserve">. This includes services we may deliver directly or those delivered through partners working for us (e.g. </w:t>
      </w:r>
      <w:r w:rsidR="002502D5">
        <w:t>r</w:t>
      </w:r>
      <w:r w:rsidRPr="00AE16BC">
        <w:t xml:space="preserve">epairs </w:t>
      </w:r>
      <w:r w:rsidR="002502D5">
        <w:t>p</w:t>
      </w:r>
      <w:r w:rsidRPr="00AE16BC">
        <w:t xml:space="preserve">artner or </w:t>
      </w:r>
      <w:r w:rsidR="002502D5">
        <w:t>m</w:t>
      </w:r>
      <w:r w:rsidRPr="00AE16BC">
        <w:t xml:space="preserve">ajor </w:t>
      </w:r>
      <w:r w:rsidR="002502D5">
        <w:t>w</w:t>
      </w:r>
      <w:r w:rsidRPr="00AE16BC">
        <w:t>orks contractor).</w:t>
      </w:r>
      <w:r w:rsidR="005227C1">
        <w:t xml:space="preserve"> </w:t>
      </w:r>
    </w:p>
    <w:p w14:paraId="6D768622" w14:textId="77777777" w:rsidR="0035266D" w:rsidRPr="00AE16BC" w:rsidRDefault="0035266D" w:rsidP="00BD6756"/>
    <w:p w14:paraId="2FF52A34" w14:textId="77777777" w:rsidR="00BD6756" w:rsidRPr="00AE16BC" w:rsidRDefault="00BD6756" w:rsidP="00CE059B">
      <w:pPr>
        <w:pStyle w:val="Heading2"/>
      </w:pPr>
      <w:bookmarkStart w:id="4" w:name="_Toc168989924"/>
      <w:r w:rsidRPr="00AE16BC">
        <w:lastRenderedPageBreak/>
        <w:t>Complaints through an advocate</w:t>
      </w:r>
      <w:bookmarkEnd w:id="4"/>
    </w:p>
    <w:p w14:paraId="14090789" w14:textId="77777777" w:rsidR="007740CA" w:rsidRPr="008314CA" w:rsidRDefault="007740CA" w:rsidP="008314CA">
      <w:pPr>
        <w:pStyle w:val="Footer"/>
      </w:pPr>
    </w:p>
    <w:p w14:paraId="73C099EE" w14:textId="3DC6F09A" w:rsidR="00BD4968" w:rsidRPr="00AE16BC" w:rsidRDefault="00BD6756" w:rsidP="00BD6756">
      <w:r w:rsidRPr="00AE16BC">
        <w:t xml:space="preserve">When receiving a complaint from someone acting on behalf of a service user, we will contact the service user to check that they are happy to be represented. There must be signed consent on file if the service user wants </w:t>
      </w:r>
      <w:r w:rsidR="00E007CE">
        <w:t>the Council</w:t>
      </w:r>
      <w:r w:rsidRPr="00AE16BC">
        <w:t xml:space="preserve"> to liaise directly with the support person or advocate.</w:t>
      </w:r>
      <w:r w:rsidR="004A3C77">
        <w:t xml:space="preserve"> </w:t>
      </w:r>
      <w:r w:rsidR="00BD4968">
        <w:t>The</w:t>
      </w:r>
      <w:r w:rsidR="00B6064C">
        <w:t xml:space="preserve"> service user will then be given the opportunity to have their</w:t>
      </w:r>
      <w:r w:rsidR="00BD4968">
        <w:t xml:space="preserve"> representative</w:t>
      </w:r>
      <w:r w:rsidR="003366DF">
        <w:t xml:space="preserve"> deal with the</w:t>
      </w:r>
      <w:r w:rsidR="005344CC">
        <w:t>ir</w:t>
      </w:r>
      <w:r w:rsidR="003366DF">
        <w:t xml:space="preserve"> complaint</w:t>
      </w:r>
      <w:r w:rsidR="00450B3F">
        <w:t xml:space="preserve">, </w:t>
      </w:r>
      <w:r w:rsidR="00BB3357">
        <w:t xml:space="preserve">and to be represented or accompanied at any meeting with </w:t>
      </w:r>
      <w:r w:rsidR="00C679AC">
        <w:t>the Council</w:t>
      </w:r>
      <w:r w:rsidR="006C3E92">
        <w:t>.</w:t>
      </w:r>
      <w:r w:rsidR="004A3C77">
        <w:t xml:space="preserve"> </w:t>
      </w:r>
    </w:p>
    <w:p w14:paraId="7F3E4894" w14:textId="775AA0F8" w:rsidR="00BD6756" w:rsidRPr="00AE16BC" w:rsidRDefault="00BD6756" w:rsidP="00BD6756">
      <w:r w:rsidRPr="00AE16BC">
        <w:t>Where we are contacted by an elected member, such as a MP or Councillor, we will liaise with the service user regarding their complaint and include the MP or Councillor in our formal responses.</w:t>
      </w:r>
      <w:r w:rsidR="007E5F50">
        <w:t xml:space="preserve"> </w:t>
      </w:r>
      <w:r w:rsidRPr="00AE16BC">
        <w:t xml:space="preserve">However, should the response contain confidential information, it cannot be assumed that permission of the complainant has been given to release this information to </w:t>
      </w:r>
      <w:r w:rsidR="008C469B">
        <w:t>m</w:t>
      </w:r>
      <w:r w:rsidRPr="00AE16BC">
        <w:t xml:space="preserve">embers. Sensitive information must be redacted from the </w:t>
      </w:r>
      <w:r w:rsidR="00AD513A" w:rsidRPr="00AE16BC">
        <w:t>response,</w:t>
      </w:r>
      <w:r w:rsidRPr="00AE16BC">
        <w:t xml:space="preserve"> or a separate response be provided to an elected member.</w:t>
      </w:r>
    </w:p>
    <w:p w14:paraId="005C858C" w14:textId="1F356448" w:rsidR="00E31DA6" w:rsidRDefault="00BD6756" w:rsidP="00BD6756">
      <w:r w:rsidRPr="00AE16BC">
        <w:t xml:space="preserve">Where a complaint is received through a legal representative, we will check to see whether this can be handled as a complaint. Where appropriate, we may seek legal advice. </w:t>
      </w:r>
      <w:r w:rsidR="00A56E64">
        <w:t xml:space="preserve">Regardless of </w:t>
      </w:r>
      <w:r w:rsidR="00BC61C1">
        <w:t xml:space="preserve">whether </w:t>
      </w:r>
      <w:r w:rsidR="00754BBA">
        <w:t>legal proceeding</w:t>
      </w:r>
      <w:r w:rsidR="00BC61C1">
        <w:t>s</w:t>
      </w:r>
      <w:r w:rsidR="00754BBA">
        <w:t xml:space="preserve"> are </w:t>
      </w:r>
      <w:r w:rsidR="00E24AC5">
        <w:t>involved</w:t>
      </w:r>
      <w:r w:rsidR="00BC61C1">
        <w:t>, we</w:t>
      </w:r>
      <w:r w:rsidR="00120A1A">
        <w:t xml:space="preserve"> will </w:t>
      </w:r>
      <w:r w:rsidR="00235CD2">
        <w:t>endeavour to</w:t>
      </w:r>
      <w:r w:rsidR="00BE7E3A">
        <w:t xml:space="preserve"> </w:t>
      </w:r>
      <w:r w:rsidR="00120A1A">
        <w:t>activ</w:t>
      </w:r>
      <w:r w:rsidR="000F5311">
        <w:t xml:space="preserve">ely </w:t>
      </w:r>
      <w:r w:rsidR="00F33EE5">
        <w:t xml:space="preserve">engage with this type of </w:t>
      </w:r>
      <w:r w:rsidR="000363E1">
        <w:t>advocate</w:t>
      </w:r>
      <w:r w:rsidR="000B2660">
        <w:t xml:space="preserve"> in the interest of</w:t>
      </w:r>
      <w:r w:rsidR="00BE7E3A">
        <w:t xml:space="preserve"> the</w:t>
      </w:r>
      <w:r w:rsidR="000B2660">
        <w:t xml:space="preserve"> resident.</w:t>
      </w:r>
      <w:r w:rsidR="00F33EE5">
        <w:t xml:space="preserve"> </w:t>
      </w:r>
    </w:p>
    <w:p w14:paraId="479C8089" w14:textId="6ADE32C4" w:rsidR="00BD6756" w:rsidRDefault="00BD6756" w:rsidP="00BD6756">
      <w:r w:rsidRPr="00AE16BC">
        <w:t xml:space="preserve">This could affect the stated timelines for providing a response. </w:t>
      </w:r>
      <w:r w:rsidR="00305B02">
        <w:t>If additional time is required</w:t>
      </w:r>
      <w:r w:rsidR="008C469B">
        <w:t>,</w:t>
      </w:r>
      <w:r w:rsidR="00305B02">
        <w:t xml:space="preserve"> t</w:t>
      </w:r>
      <w:r w:rsidRPr="00AE16BC">
        <w:t>he service user will be formally notified.</w:t>
      </w:r>
    </w:p>
    <w:p w14:paraId="683222BF" w14:textId="40173F92" w:rsidR="005C7F4F" w:rsidRDefault="005C7F4F" w:rsidP="00B101A2">
      <w:pPr>
        <w:pStyle w:val="Footer"/>
      </w:pPr>
    </w:p>
    <w:p w14:paraId="59FBDAA4" w14:textId="77777777" w:rsidR="00BD6756" w:rsidRPr="00AE16BC" w:rsidRDefault="00BD6756" w:rsidP="00BD6756">
      <w:pPr>
        <w:pStyle w:val="Heading1"/>
      </w:pPr>
      <w:bookmarkStart w:id="5" w:name="_Toc168989925"/>
      <w:r w:rsidRPr="00AE16BC">
        <w:t>Matters that cannot be dealt with under this policy</w:t>
      </w:r>
      <w:bookmarkEnd w:id="5"/>
      <w:r w:rsidRPr="00AE16BC">
        <w:t xml:space="preserve"> </w:t>
      </w:r>
    </w:p>
    <w:p w14:paraId="6C773D26" w14:textId="4954301F" w:rsidR="00C84D9C" w:rsidRPr="004E47BC" w:rsidRDefault="001F0355" w:rsidP="004E47BC">
      <w:r>
        <w:t>The Council</w:t>
      </w:r>
      <w:r w:rsidR="0096169D">
        <w:t xml:space="preserve"> will consider the individual circumstances of the complaint </w:t>
      </w:r>
      <w:r w:rsidR="00B741FE">
        <w:t>but</w:t>
      </w:r>
      <w:r w:rsidR="00BD6756" w:rsidRPr="00AE16BC">
        <w:t xml:space="preserve"> may refuse to accept a complaint based on the exclusions outlined below. If </w:t>
      </w:r>
      <w:r>
        <w:t>the Council</w:t>
      </w:r>
      <w:r w:rsidR="00BD6756" w:rsidRPr="00AE16BC">
        <w:t xml:space="preserve"> decides not to accept a complaint, we will provide a detailed explanation to the service user setting out the reasons why the matter is not suitable for the complaints process. Complainants have the right to challenge this decision by bringing their complaint to the </w:t>
      </w:r>
      <w:r w:rsidR="005A3AF1">
        <w:t>H</w:t>
      </w:r>
      <w:r>
        <w:t xml:space="preserve">ousing </w:t>
      </w:r>
      <w:r w:rsidR="005A3AF1">
        <w:t>O</w:t>
      </w:r>
      <w:r>
        <w:t>mbudsman</w:t>
      </w:r>
      <w:r w:rsidR="00BD6756" w:rsidRPr="00AE16BC">
        <w:t xml:space="preserve">. </w:t>
      </w:r>
    </w:p>
    <w:tbl>
      <w:tblPr>
        <w:tblStyle w:val="TableGrid"/>
        <w:tblpPr w:leftFromText="180" w:rightFromText="180" w:vertAnchor="text" w:horzAnchor="margin" w:tblpXSpec="right" w:tblpY="344"/>
        <w:tblW w:w="0" w:type="auto"/>
        <w:tblLook w:val="04A0" w:firstRow="1" w:lastRow="0" w:firstColumn="1" w:lastColumn="0" w:noHBand="0" w:noVBand="1"/>
      </w:tblPr>
      <w:tblGrid>
        <w:gridCol w:w="3539"/>
        <w:gridCol w:w="5766"/>
      </w:tblGrid>
      <w:tr w:rsidR="00BD6756" w:rsidRPr="00EF5BD6" w14:paraId="27CF05BE" w14:textId="77777777" w:rsidTr="009E5AF0">
        <w:tc>
          <w:tcPr>
            <w:tcW w:w="3539" w:type="dxa"/>
          </w:tcPr>
          <w:p w14:paraId="41F86487" w14:textId="77777777" w:rsidR="00BD6756" w:rsidRPr="00BD6756" w:rsidRDefault="00BD6756" w:rsidP="00293FB0">
            <w:pPr>
              <w:pStyle w:val="BoldNormal"/>
              <w:framePr w:hSpace="0" w:wrap="auto" w:vAnchor="margin" w:hAnchor="text" w:xAlign="left" w:yAlign="inline"/>
            </w:pPr>
            <w:r w:rsidRPr="00AE16BC">
              <w:t>Exclusion</w:t>
            </w:r>
          </w:p>
        </w:tc>
        <w:tc>
          <w:tcPr>
            <w:tcW w:w="5766" w:type="dxa"/>
          </w:tcPr>
          <w:p w14:paraId="713560C9" w14:textId="77777777" w:rsidR="00BD6756" w:rsidRPr="00BD6756" w:rsidRDefault="00BD6756" w:rsidP="00293FB0">
            <w:pPr>
              <w:pStyle w:val="BoldNormal"/>
              <w:framePr w:hSpace="0" w:wrap="auto" w:vAnchor="margin" w:hAnchor="text" w:xAlign="left" w:yAlign="inline"/>
            </w:pPr>
            <w:r w:rsidRPr="00AE16BC">
              <w:t>Description</w:t>
            </w:r>
          </w:p>
        </w:tc>
      </w:tr>
      <w:tr w:rsidR="00BD6756" w14:paraId="552F643E" w14:textId="77777777" w:rsidTr="009E5AF0">
        <w:trPr>
          <w:trHeight w:val="557"/>
        </w:trPr>
        <w:tc>
          <w:tcPr>
            <w:tcW w:w="3539" w:type="dxa"/>
          </w:tcPr>
          <w:p w14:paraId="4C1C1447" w14:textId="77777777" w:rsidR="00BD6756" w:rsidRPr="00BD6756" w:rsidRDefault="00BD6756" w:rsidP="00293FB0">
            <w:pPr>
              <w:pStyle w:val="BoldNormal"/>
              <w:framePr w:hSpace="0" w:wrap="auto" w:vAnchor="margin" w:hAnchor="text" w:xAlign="left" w:yAlign="inline"/>
            </w:pPr>
            <w:r w:rsidRPr="00AE16BC">
              <w:t>Legal action and Disrepair</w:t>
            </w:r>
          </w:p>
          <w:p w14:paraId="6C42C1DB" w14:textId="77777777" w:rsidR="00BD6756" w:rsidRPr="00AE16BC" w:rsidRDefault="00BD6756" w:rsidP="00293FB0">
            <w:pPr>
              <w:pStyle w:val="BoldNormal"/>
              <w:framePr w:hSpace="0" w:wrap="auto" w:vAnchor="margin" w:hAnchor="text" w:xAlign="left" w:yAlign="inline"/>
            </w:pPr>
          </w:p>
        </w:tc>
        <w:tc>
          <w:tcPr>
            <w:tcW w:w="5766" w:type="dxa"/>
          </w:tcPr>
          <w:p w14:paraId="5FFCAC67" w14:textId="3C3997AD" w:rsidR="00AF5876" w:rsidRDefault="00BC4FAD" w:rsidP="0078698B">
            <w:r>
              <w:t>Where l</w:t>
            </w:r>
            <w:r w:rsidRPr="00BC4FAD">
              <w:t xml:space="preserve">egal proceedings have </w:t>
            </w:r>
            <w:r w:rsidR="00FE1783">
              <w:t xml:space="preserve">been initiated by a resident through a </w:t>
            </w:r>
            <w:r w:rsidRPr="00BC4FAD">
              <w:t>Claim Form and Particulars of Claim, having been filed at court.</w:t>
            </w:r>
            <w:r w:rsidR="00CD1334">
              <w:t xml:space="preserve"> These matters will be dealt</w:t>
            </w:r>
            <w:r w:rsidR="00AE29BD">
              <w:t xml:space="preserve"> with</w:t>
            </w:r>
            <w:r w:rsidR="00061E8B">
              <w:t xml:space="preserve"> by the </w:t>
            </w:r>
            <w:r w:rsidR="00331569">
              <w:t>c</w:t>
            </w:r>
            <w:r w:rsidR="00061E8B">
              <w:t>ouncil's legal department.</w:t>
            </w:r>
          </w:p>
          <w:p w14:paraId="19B43B12" w14:textId="77777777" w:rsidR="00AF5876" w:rsidRDefault="00AF5876" w:rsidP="0078698B"/>
          <w:p w14:paraId="0BE46CD2" w14:textId="3139A444" w:rsidR="00BD6756" w:rsidRPr="00AE16BC" w:rsidRDefault="00BD6756" w:rsidP="0078698B">
            <w:r>
              <w:t xml:space="preserve">Where </w:t>
            </w:r>
            <w:r w:rsidR="000A6A86">
              <w:t xml:space="preserve">the </w:t>
            </w:r>
            <w:r w:rsidR="00331569">
              <w:t>c</w:t>
            </w:r>
            <w:r w:rsidR="000A6A86">
              <w:t>ouncil</w:t>
            </w:r>
            <w:r>
              <w:t xml:space="preserve"> is taking legal action, the complainant will need to use the legal process to oppose the claim</w:t>
            </w:r>
            <w:r w:rsidRPr="00BD6756">
              <w:t xml:space="preserve">. </w:t>
            </w:r>
          </w:p>
        </w:tc>
      </w:tr>
      <w:tr w:rsidR="00B07AE9" w14:paraId="04C08A15" w14:textId="77777777" w:rsidTr="009E5AF0">
        <w:trPr>
          <w:trHeight w:val="557"/>
        </w:trPr>
        <w:tc>
          <w:tcPr>
            <w:tcW w:w="3539" w:type="dxa"/>
          </w:tcPr>
          <w:p w14:paraId="5E3E9D93" w14:textId="0433B026" w:rsidR="00B07AE9" w:rsidRPr="00B07AE9" w:rsidRDefault="00B07AE9" w:rsidP="00B07AE9">
            <w:pPr>
              <w:pStyle w:val="BoldNormal"/>
              <w:framePr w:hSpace="0" w:wrap="auto" w:vAnchor="margin" w:hAnchor="text" w:xAlign="left" w:yAlign="inline"/>
            </w:pPr>
            <w:r w:rsidRPr="00B07AE9">
              <w:t>Rent increases</w:t>
            </w:r>
          </w:p>
        </w:tc>
        <w:tc>
          <w:tcPr>
            <w:tcW w:w="5766" w:type="dxa"/>
          </w:tcPr>
          <w:p w14:paraId="23300871" w14:textId="4DF95A73" w:rsidR="00B07AE9" w:rsidRPr="00B07AE9" w:rsidRDefault="00B07AE9" w:rsidP="00B07AE9">
            <w:r w:rsidRPr="00B07AE9">
              <w:t xml:space="preserve">Our rents are set in line with the Government's Rent Standard. </w:t>
            </w:r>
            <w:r w:rsidRPr="00B07AE9">
              <w:rPr>
                <w:rFonts w:eastAsiaTheme="minorHAnsi"/>
              </w:rPr>
              <w:t xml:space="preserve"> </w:t>
            </w:r>
            <w:r w:rsidRPr="00B07AE9">
              <w:t>If you are dissatisfied with your rent charge or increase, we will escalate it to the relevant team to respond to your enquiry.</w:t>
            </w:r>
          </w:p>
        </w:tc>
      </w:tr>
      <w:tr w:rsidR="00B07AE9" w:rsidRPr="0085174A" w14:paraId="7F16A8C4" w14:textId="77777777" w:rsidTr="00E020DA">
        <w:tc>
          <w:tcPr>
            <w:tcW w:w="3539" w:type="dxa"/>
          </w:tcPr>
          <w:p w14:paraId="2AF17B97" w14:textId="77777777" w:rsidR="00B07AE9" w:rsidRPr="0085174A" w:rsidRDefault="00B07AE9" w:rsidP="00B07AE9">
            <w:pPr>
              <w:pStyle w:val="BoldNormal"/>
              <w:framePr w:hSpace="0" w:wrap="auto" w:vAnchor="margin" w:hAnchor="text" w:xAlign="left" w:yAlign="inline"/>
            </w:pPr>
            <w:r w:rsidRPr="0085174A">
              <w:lastRenderedPageBreak/>
              <w:t>Service charge disputes</w:t>
            </w:r>
          </w:p>
        </w:tc>
        <w:tc>
          <w:tcPr>
            <w:tcW w:w="5766" w:type="dxa"/>
          </w:tcPr>
          <w:p w14:paraId="0D1F268D" w14:textId="514EF60F" w:rsidR="00B07AE9" w:rsidRPr="00B07AE9" w:rsidRDefault="00B07AE9" w:rsidP="00B07AE9">
            <w:r w:rsidRPr="00B07AE9">
              <w:t xml:space="preserve">These are managed through our Leasehold Arrears Recovery Procedure </w:t>
            </w:r>
          </w:p>
        </w:tc>
      </w:tr>
      <w:tr w:rsidR="00B07AE9" w14:paraId="0A0F49BA" w14:textId="77777777" w:rsidTr="009E5AF0">
        <w:trPr>
          <w:trHeight w:val="557"/>
        </w:trPr>
        <w:tc>
          <w:tcPr>
            <w:tcW w:w="3539" w:type="dxa"/>
          </w:tcPr>
          <w:p w14:paraId="71F3FE46" w14:textId="4BEED98B" w:rsidR="00B07AE9" w:rsidRPr="00B07AE9" w:rsidRDefault="00B07AE9" w:rsidP="00B07AE9">
            <w:pPr>
              <w:pStyle w:val="BoldNormal"/>
              <w:framePr w:hSpace="0" w:wrap="auto" w:vAnchor="margin" w:hAnchor="text" w:xAlign="left" w:yAlign="inline"/>
            </w:pPr>
            <w:r w:rsidRPr="00B07AE9">
              <w:t>Building Safety</w:t>
            </w:r>
          </w:p>
        </w:tc>
        <w:tc>
          <w:tcPr>
            <w:tcW w:w="5766" w:type="dxa"/>
          </w:tcPr>
          <w:p w14:paraId="386EB47F" w14:textId="4FD30172" w:rsidR="00B07AE9" w:rsidRPr="00B07AE9" w:rsidRDefault="00B07AE9" w:rsidP="00B07AE9">
            <w:r w:rsidRPr="00B07AE9">
              <w:t xml:space="preserve">Complaints about building safety risks i.e </w:t>
            </w:r>
            <w:r w:rsidRPr="008124C0">
              <w:t xml:space="preserve">structural failure and spread of fire </w:t>
            </w:r>
            <w:r w:rsidRPr="00B07AE9">
              <w:rPr>
                <w:rFonts w:eastAsiaTheme="minorHAnsi"/>
              </w:rPr>
              <w:t xml:space="preserve">or the performance of the Accountable Person as defined by the Building Safety Act 2023 will be managed outside of this process and in accordance our Building Safety Complaints Policy. More information can be found on </w:t>
            </w:r>
            <w:hyperlink r:id="rId12" w:history="1">
              <w:r w:rsidRPr="00B07AE9">
                <w:rPr>
                  <w:rStyle w:val="Hyperlink"/>
                </w:rPr>
                <w:t>Building Safety concerns and complaints (towerhamlets.gov.uk)</w:t>
              </w:r>
            </w:hyperlink>
          </w:p>
        </w:tc>
      </w:tr>
      <w:tr w:rsidR="00B07AE9" w14:paraId="01C82321" w14:textId="77777777" w:rsidTr="009E5AF0">
        <w:tc>
          <w:tcPr>
            <w:tcW w:w="3539" w:type="dxa"/>
          </w:tcPr>
          <w:p w14:paraId="41C0575F" w14:textId="77777777" w:rsidR="00B07AE9" w:rsidRPr="00B07AE9" w:rsidRDefault="00B07AE9" w:rsidP="00B07AE9">
            <w:pPr>
              <w:pStyle w:val="BoldNormal"/>
              <w:framePr w:hSpace="0" w:wrap="auto" w:vAnchor="margin" w:hAnchor="text" w:xAlign="left" w:yAlign="inline"/>
            </w:pPr>
            <w:r w:rsidRPr="00B07AE9">
              <w:t>A service request</w:t>
            </w:r>
          </w:p>
        </w:tc>
        <w:tc>
          <w:tcPr>
            <w:tcW w:w="5766" w:type="dxa"/>
          </w:tcPr>
          <w:p w14:paraId="64DD0456" w14:textId="77777777" w:rsidR="00B07AE9" w:rsidRPr="00B07AE9" w:rsidRDefault="00B07AE9" w:rsidP="00B07AE9">
            <w:r w:rsidRPr="00B07AE9">
              <w:t>Service requests are requests from a resident to the landlord requiring action to be taken to put things right. This is different to a complaint and any service requests made in the form of a complaint, such as reporting a repair or anti-social behaviour will not be treated as a complaint. These will be recorded as a query, monitored, and reviewed regularly.</w:t>
            </w:r>
          </w:p>
          <w:p w14:paraId="2218A017" w14:textId="77777777" w:rsidR="00B07AE9" w:rsidRPr="00B07AE9" w:rsidRDefault="00B07AE9" w:rsidP="00B07AE9"/>
          <w:p w14:paraId="0AE4ACDC" w14:textId="771287A4" w:rsidR="00B07AE9" w:rsidRPr="00B07AE9" w:rsidRDefault="00B07AE9" w:rsidP="00B07AE9">
            <w:r w:rsidRPr="00B07AE9">
              <w:t>If during the course of your service request you remain dissatisfied, we will treat your concern as a complaint.</w:t>
            </w:r>
          </w:p>
        </w:tc>
      </w:tr>
      <w:tr w:rsidR="00B07AE9" w14:paraId="489176DB" w14:textId="77777777" w:rsidTr="009E5AF0">
        <w:tc>
          <w:tcPr>
            <w:tcW w:w="3539" w:type="dxa"/>
          </w:tcPr>
          <w:p w14:paraId="55FBE71B" w14:textId="76B449E9" w:rsidR="00B07AE9" w:rsidRPr="00B07AE9" w:rsidRDefault="00B07AE9" w:rsidP="00B07AE9">
            <w:pPr>
              <w:pStyle w:val="BoldNormal"/>
              <w:framePr w:hSpace="0" w:wrap="auto" w:vAnchor="margin" w:hAnchor="text" w:xAlign="left" w:yAlign="inline"/>
            </w:pPr>
            <w:r w:rsidRPr="00B07AE9">
              <w:t>The cause of the complaint is more than 12 months old</w:t>
            </w:r>
          </w:p>
        </w:tc>
        <w:tc>
          <w:tcPr>
            <w:tcW w:w="5766" w:type="dxa"/>
          </w:tcPr>
          <w:p w14:paraId="3BDDD718" w14:textId="54B3DE3B" w:rsidR="00B07AE9" w:rsidRPr="00B07AE9" w:rsidRDefault="00B07AE9" w:rsidP="00B07AE9">
            <w:r w:rsidRPr="00B07AE9">
              <w:t>Where a cause of a complaint is more than 12 months old and is only reported now, this will not be considered unless, in the opinion of Council, there is good reason to do so. Where a resident has only become aware of the issue, a complaint will only be accepted within 12 months of when they became aware.</w:t>
            </w:r>
          </w:p>
        </w:tc>
      </w:tr>
      <w:tr w:rsidR="00B07AE9" w14:paraId="56C99C7C" w14:textId="77777777" w:rsidTr="009E5AF0">
        <w:tc>
          <w:tcPr>
            <w:tcW w:w="3539" w:type="dxa"/>
          </w:tcPr>
          <w:p w14:paraId="781E80A3" w14:textId="77777777" w:rsidR="00B07AE9" w:rsidRPr="00B07AE9" w:rsidRDefault="00B07AE9" w:rsidP="00B07AE9">
            <w:pPr>
              <w:pStyle w:val="BoldNormal"/>
              <w:framePr w:hSpace="0" w:wrap="auto" w:vAnchor="margin" w:hAnchor="text" w:xAlign="left" w:yAlign="inline"/>
            </w:pPr>
            <w:r w:rsidRPr="00B07AE9">
              <w:t>Failure to provide a service that has been remedied through application of the Compensation Policy</w:t>
            </w:r>
          </w:p>
        </w:tc>
        <w:tc>
          <w:tcPr>
            <w:tcW w:w="5766" w:type="dxa"/>
          </w:tcPr>
          <w:p w14:paraId="4539D5BD" w14:textId="0FFF3CAB" w:rsidR="00B07AE9" w:rsidRPr="00B07AE9" w:rsidRDefault="00B07AE9" w:rsidP="00B07AE9">
            <w:r w:rsidRPr="00B07AE9">
              <w:t>Issues such as communal central heating breakdown, where the Council has paid out compensation for loss of service and it has been accepted as a settlement, will not be dealt with as a complaint.</w:t>
            </w:r>
          </w:p>
        </w:tc>
      </w:tr>
      <w:tr w:rsidR="00B07AE9" w14:paraId="32C7A7A8" w14:textId="77777777" w:rsidTr="009E5AF0">
        <w:tc>
          <w:tcPr>
            <w:tcW w:w="3539" w:type="dxa"/>
          </w:tcPr>
          <w:p w14:paraId="0F851F4F" w14:textId="77777777" w:rsidR="00B07AE9" w:rsidRPr="00B07AE9" w:rsidRDefault="00B07AE9" w:rsidP="00B07AE9">
            <w:pPr>
              <w:pStyle w:val="BoldNormal"/>
              <w:framePr w:hSpace="0" w:wrap="auto" w:vAnchor="margin" w:hAnchor="text" w:xAlign="left" w:yAlign="inline"/>
            </w:pPr>
            <w:r w:rsidRPr="00B07AE9">
              <w:t>Rent increases</w:t>
            </w:r>
          </w:p>
        </w:tc>
        <w:tc>
          <w:tcPr>
            <w:tcW w:w="5766" w:type="dxa"/>
          </w:tcPr>
          <w:p w14:paraId="010EE083" w14:textId="658DDE30" w:rsidR="00B07AE9" w:rsidRPr="00B07AE9" w:rsidRDefault="00B07AE9" w:rsidP="00B07AE9">
            <w:r w:rsidRPr="00B07AE9">
              <w:t xml:space="preserve">Our rents are set in line with the Government's Rent Standard. </w:t>
            </w:r>
            <w:r w:rsidRPr="00B07AE9">
              <w:rPr>
                <w:rFonts w:eastAsiaTheme="minorHAnsi"/>
              </w:rPr>
              <w:t xml:space="preserve"> </w:t>
            </w:r>
            <w:r w:rsidRPr="00B07AE9">
              <w:t>If you are dissatisfied with your rent charge or increase, we will escalate it to the relevant team to respond to your enquiry.</w:t>
            </w:r>
          </w:p>
        </w:tc>
      </w:tr>
      <w:tr w:rsidR="00B07AE9" w14:paraId="520D74DC" w14:textId="77777777" w:rsidTr="009E5AF0">
        <w:tc>
          <w:tcPr>
            <w:tcW w:w="3539" w:type="dxa"/>
          </w:tcPr>
          <w:p w14:paraId="34AE8745" w14:textId="7D7E55F0" w:rsidR="00B07AE9" w:rsidRPr="00B07AE9" w:rsidRDefault="00B07AE9" w:rsidP="00B07AE9">
            <w:pPr>
              <w:pStyle w:val="BoldNormal"/>
              <w:framePr w:hSpace="0" w:wrap="auto" w:vAnchor="margin" w:hAnchor="text" w:xAlign="left" w:yAlign="inline"/>
            </w:pPr>
            <w:r w:rsidRPr="00B07AE9">
              <w:t>Complaints about other residents</w:t>
            </w:r>
          </w:p>
        </w:tc>
        <w:tc>
          <w:tcPr>
            <w:tcW w:w="5766" w:type="dxa"/>
          </w:tcPr>
          <w:p w14:paraId="268832B1" w14:textId="425AF0D7" w:rsidR="00B07AE9" w:rsidRPr="00B07AE9" w:rsidRDefault="00B07AE9" w:rsidP="00B07AE9">
            <w:r w:rsidRPr="00B07AE9">
              <w:t>We have a separate policy for dealing with anti-social behaviour (ASB). We’ll consider complaints about the handling of your ASB case under our complaints process.</w:t>
            </w:r>
          </w:p>
        </w:tc>
      </w:tr>
      <w:tr w:rsidR="00B07AE9" w14:paraId="15E934CA" w14:textId="77777777" w:rsidTr="009E5AF0">
        <w:tc>
          <w:tcPr>
            <w:tcW w:w="3539" w:type="dxa"/>
          </w:tcPr>
          <w:p w14:paraId="30779600" w14:textId="77777777" w:rsidR="00B07AE9" w:rsidRPr="00B07AE9" w:rsidRDefault="00B07AE9" w:rsidP="00B07AE9">
            <w:pPr>
              <w:pStyle w:val="BoldNormal"/>
              <w:framePr w:hSpace="0" w:wrap="auto" w:vAnchor="margin" w:hAnchor="text" w:xAlign="left" w:yAlign="inline"/>
            </w:pPr>
            <w:r w:rsidRPr="00B07AE9">
              <w:t>Insurance claims</w:t>
            </w:r>
          </w:p>
        </w:tc>
        <w:tc>
          <w:tcPr>
            <w:tcW w:w="5766" w:type="dxa"/>
          </w:tcPr>
          <w:p w14:paraId="76C2454B" w14:textId="26119158" w:rsidR="00B07AE9" w:rsidRPr="00B07AE9" w:rsidRDefault="00B07AE9" w:rsidP="00B07AE9">
            <w:r w:rsidRPr="00B07AE9">
              <w:t>Matters related to claims on building or public liability insurance are dealt with by the Council's Insurance Team. Queries should be directed to the Council’s Insurance Team.</w:t>
            </w:r>
          </w:p>
        </w:tc>
      </w:tr>
      <w:tr w:rsidR="00B07AE9" w14:paraId="066E70F0" w14:textId="77777777" w:rsidTr="009E5AF0">
        <w:tc>
          <w:tcPr>
            <w:tcW w:w="3539" w:type="dxa"/>
          </w:tcPr>
          <w:p w14:paraId="18FFF403" w14:textId="0B7F05C9" w:rsidR="00B07AE9" w:rsidRPr="00B07AE9" w:rsidRDefault="00B07AE9" w:rsidP="00B07AE9">
            <w:pPr>
              <w:pStyle w:val="BoldNormal"/>
              <w:framePr w:hSpace="0" w:wrap="auto" w:vAnchor="margin" w:hAnchor="text" w:xAlign="left" w:yAlign="inline"/>
            </w:pPr>
            <w:r w:rsidRPr="00B07AE9">
              <w:lastRenderedPageBreak/>
              <w:t>Unreasonably Persistent Complainants and Unreasonable Customer Behaviour</w:t>
            </w:r>
          </w:p>
        </w:tc>
        <w:tc>
          <w:tcPr>
            <w:tcW w:w="5766" w:type="dxa"/>
          </w:tcPr>
          <w:p w14:paraId="2E40C912" w14:textId="6EA8CD26" w:rsidR="00B07AE9" w:rsidRPr="00B07AE9" w:rsidRDefault="00B07AE9" w:rsidP="00B07AE9">
            <w:r w:rsidRPr="00B07AE9">
              <w:t xml:space="preserve">We will agree on one point of contact to deal with concerns in a consistent manner.  Before deciding to apply any restrictions, we will ensure </w:t>
            </w:r>
            <w:r w:rsidR="00D51BA9" w:rsidRPr="00B07AE9">
              <w:t>that</w:t>
            </w:r>
            <w:r w:rsidR="00D51BA9" w:rsidRPr="00597F77">
              <w:t xml:space="preserve"> the</w:t>
            </w:r>
            <w:r w:rsidRPr="00597F77">
              <w:t xml:space="preserve"> complaint or request for information has been dealt with properly and in line with the relevant procedures and statutory </w:t>
            </w:r>
            <w:r w:rsidRPr="00B07AE9">
              <w:t xml:space="preserve">guidelines and that we </w:t>
            </w:r>
            <w:r w:rsidRPr="00597F77">
              <w:t xml:space="preserve"> </w:t>
            </w:r>
            <w:r w:rsidRPr="00B07AE9">
              <w:t>have</w:t>
            </w:r>
            <w:r w:rsidRPr="00597F77">
              <w:t xml:space="preserve"> tried to resolve the complaint through our complaints process</w:t>
            </w:r>
          </w:p>
        </w:tc>
      </w:tr>
      <w:tr w:rsidR="00B07AE9" w14:paraId="22C932B3" w14:textId="77777777" w:rsidTr="009E5AF0">
        <w:tc>
          <w:tcPr>
            <w:tcW w:w="3539" w:type="dxa"/>
          </w:tcPr>
          <w:p w14:paraId="55EF5FE8" w14:textId="77777777" w:rsidR="00B07AE9" w:rsidRPr="00B07AE9" w:rsidRDefault="00B07AE9" w:rsidP="00B07AE9">
            <w:pPr>
              <w:pStyle w:val="BoldNormal"/>
              <w:framePr w:hSpace="0" w:wrap="auto" w:vAnchor="margin" w:hAnchor="text" w:xAlign="left" w:yAlign="inline"/>
            </w:pPr>
            <w:r w:rsidRPr="00B07AE9">
              <w:t xml:space="preserve">Matters which have already been dealt with </w:t>
            </w:r>
          </w:p>
        </w:tc>
        <w:tc>
          <w:tcPr>
            <w:tcW w:w="5766" w:type="dxa"/>
          </w:tcPr>
          <w:p w14:paraId="5B3F3460" w14:textId="6231D39E" w:rsidR="00B07AE9" w:rsidRPr="00B07AE9" w:rsidRDefault="00B07AE9" w:rsidP="00B07AE9">
            <w:r w:rsidRPr="00B07AE9">
              <w:t>We will not re-visit or log new complaints on issues which have been previously dealt with through the complaints, appeals or dispute procedures or where a court, tribunal or Ombudsman has already considered the matter.</w:t>
            </w:r>
          </w:p>
        </w:tc>
      </w:tr>
    </w:tbl>
    <w:p w14:paraId="5A0D5F96" w14:textId="27397DC4" w:rsidR="00BD6756" w:rsidRDefault="00BD6756" w:rsidP="00BD6756">
      <w:pPr>
        <w:pStyle w:val="Heading1"/>
      </w:pPr>
      <w:bookmarkStart w:id="6" w:name="_Toc168989926"/>
      <w:r>
        <w:t>How to complain</w:t>
      </w:r>
      <w:bookmarkEnd w:id="6"/>
    </w:p>
    <w:p w14:paraId="4E18D90E" w14:textId="70693E56" w:rsidR="00BD6756" w:rsidRPr="00AE16BC" w:rsidRDefault="00432EE2" w:rsidP="00BD6756">
      <w:r>
        <w:t>The Council</w:t>
      </w:r>
      <w:r w:rsidRPr="00AE16BC">
        <w:t xml:space="preserve"> </w:t>
      </w:r>
      <w:r w:rsidR="00BD6756" w:rsidRPr="00AE16BC">
        <w:t>recognises the importance of offering a range of ways for service users to make a complaint.</w:t>
      </w:r>
      <w:r w:rsidR="0051524C">
        <w:t xml:space="preserve"> </w:t>
      </w:r>
      <w:r w:rsidR="00BD6756" w:rsidRPr="00AE16BC">
        <w:t xml:space="preserve">Complaints can be raised by using the following </w:t>
      </w:r>
      <w:r w:rsidR="0028648A">
        <w:t>channel</w:t>
      </w:r>
      <w:r w:rsidR="00BD6756" w:rsidRPr="00AE16BC">
        <w:t>s:</w:t>
      </w:r>
    </w:p>
    <w:p w14:paraId="3D54A4DE" w14:textId="77777777" w:rsidR="00803100" w:rsidRDefault="00BD6756" w:rsidP="00803100">
      <w:r w:rsidRPr="00803100">
        <w:t>Website:</w:t>
      </w:r>
      <w:r w:rsidRPr="00AE16BC">
        <w:t xml:space="preserve"> </w:t>
      </w:r>
      <w:hyperlink r:id="rId13" w:history="1">
        <w:r w:rsidRPr="00AE16BC">
          <w:rPr>
            <w:rStyle w:val="Hyperlink"/>
          </w:rPr>
          <w:t>www.towerhamletshomes.org.uk</w:t>
        </w:r>
      </w:hyperlink>
      <w:r w:rsidRPr="00AE16BC">
        <w:t xml:space="preserve">  </w:t>
      </w:r>
    </w:p>
    <w:p w14:paraId="2AFE67FE" w14:textId="3E32DA7F" w:rsidR="00432EE2" w:rsidRDefault="00BD6756" w:rsidP="00803100">
      <w:r w:rsidRPr="00AE16BC">
        <w:t>Telephone: 0207 364 5015</w:t>
      </w:r>
      <w:r>
        <w:br/>
      </w:r>
      <w:r w:rsidRPr="00AE16BC">
        <w:t>Post:</w:t>
      </w:r>
      <w:r w:rsidR="00690E48">
        <w:tab/>
      </w:r>
      <w:r w:rsidR="00CC5C21">
        <w:t>Tower Hamlets Council</w:t>
      </w:r>
      <w:r>
        <w:br/>
      </w:r>
      <w:r w:rsidR="00690E48">
        <w:t xml:space="preserve"> </w:t>
      </w:r>
      <w:r w:rsidR="00690E48">
        <w:tab/>
      </w:r>
      <w:r w:rsidRPr="00AE16BC">
        <w:t>PO Box 66355</w:t>
      </w:r>
      <w:r>
        <w:br/>
      </w:r>
      <w:r w:rsidR="00690E48">
        <w:t xml:space="preserve"> </w:t>
      </w:r>
      <w:r w:rsidR="00690E48">
        <w:tab/>
      </w:r>
      <w:r w:rsidRPr="00AE16BC">
        <w:t>London E14 1GU</w:t>
      </w:r>
    </w:p>
    <w:p w14:paraId="13FFB80B" w14:textId="247764FC" w:rsidR="00C353A9" w:rsidRDefault="00C353A9" w:rsidP="00BD6756">
      <w:r>
        <w:t>Complainants also have the option of dropping off their complaints to the Residents Hub at the Town Hall, 160 Whitechapel Road, London E1 1BJ.</w:t>
      </w:r>
    </w:p>
    <w:p w14:paraId="5A2D5D63" w14:textId="2F1CA370" w:rsidR="00A206FF" w:rsidRDefault="00BD6756" w:rsidP="00BD6756">
      <w:r w:rsidRPr="00AE16BC">
        <w:t xml:space="preserve">Complainants may also choose to reach out on social media via </w:t>
      </w:r>
      <w:r w:rsidR="00195CAF">
        <w:t xml:space="preserve">X (formerly Twitter) </w:t>
      </w:r>
      <w:r w:rsidRPr="00AE16BC">
        <w:t>(@</w:t>
      </w:r>
      <w:r w:rsidR="00091F06">
        <w:t>TowerHamletsNow</w:t>
      </w:r>
      <w:r w:rsidRPr="00AE16BC">
        <w:t>) or Facebook (@</w:t>
      </w:r>
      <w:r w:rsidR="001759F7" w:rsidRPr="001759F7">
        <w:t>towerhamletscounci</w:t>
      </w:r>
      <w:r w:rsidR="001759F7">
        <w:t>l</w:t>
      </w:r>
      <w:r w:rsidRPr="00AE16BC">
        <w:t xml:space="preserve">). Whilst we may acknowledge complaints made on social media, these platforms are not intended to serve as customer service channels. For the purposes of privacy and data protection, we will directly message a user and redirect them to one of our established contact methods </w:t>
      </w:r>
      <w:r w:rsidR="00A25404" w:rsidRPr="00AE16BC">
        <w:t>to</w:t>
      </w:r>
      <w:r w:rsidRPr="00AE16BC">
        <w:t xml:space="preserve"> discuss their complaint and agree a resolution. </w:t>
      </w:r>
    </w:p>
    <w:p w14:paraId="57C1E15D" w14:textId="0A5006F3" w:rsidR="004E2428" w:rsidRDefault="00145811" w:rsidP="00BD6756">
      <w:r>
        <w:t>Individuals</w:t>
      </w:r>
      <w:r w:rsidR="004E2428" w:rsidRPr="001057D8">
        <w:t xml:space="preserve"> </w:t>
      </w:r>
      <w:r w:rsidR="00C4709C">
        <w:t>have the freedom</w:t>
      </w:r>
      <w:r w:rsidR="004E2428" w:rsidRPr="001057D8">
        <w:t xml:space="preserve"> to raise their complaint</w:t>
      </w:r>
      <w:r w:rsidR="008F4CD1">
        <w:t xml:space="preserve">, </w:t>
      </w:r>
      <w:r w:rsidR="008F4CD1" w:rsidRPr="008F4CD1">
        <w:t xml:space="preserve">or </w:t>
      </w:r>
      <w:r w:rsidR="006C6C61">
        <w:t xml:space="preserve">expression of </w:t>
      </w:r>
      <w:r w:rsidR="008F4CD1" w:rsidRPr="008F4CD1">
        <w:t>dissatisfaction which may result in a complaint</w:t>
      </w:r>
      <w:r w:rsidR="008F4CD1">
        <w:t xml:space="preserve">, </w:t>
      </w:r>
      <w:r w:rsidR="004E2428" w:rsidRPr="001057D8">
        <w:t>in any way and with any member of staff.</w:t>
      </w:r>
      <w:r w:rsidR="00216C42">
        <w:t xml:space="preserve"> Th</w:t>
      </w:r>
      <w:r w:rsidR="00811A12">
        <w:t>e</w:t>
      </w:r>
      <w:r w:rsidR="004E2428" w:rsidRPr="001057D8">
        <w:t xml:space="preserve"> details of the complaint</w:t>
      </w:r>
      <w:r w:rsidR="00406DB5">
        <w:t xml:space="preserve"> will then be passed on</w:t>
      </w:r>
      <w:r w:rsidR="004E2428" w:rsidRPr="001057D8">
        <w:t xml:space="preserve">to the </w:t>
      </w:r>
      <w:r w:rsidR="00B6074A">
        <w:t>relevant</w:t>
      </w:r>
      <w:r w:rsidR="004E2428" w:rsidRPr="001057D8">
        <w:t xml:space="preserve"> person within t</w:t>
      </w:r>
      <w:r w:rsidR="00B6074A">
        <w:t>he organisation</w:t>
      </w:r>
      <w:r w:rsidR="004E2428">
        <w:t>.</w:t>
      </w:r>
    </w:p>
    <w:p w14:paraId="23A60774" w14:textId="77777777" w:rsidR="00D87E39" w:rsidRDefault="00D87E39" w:rsidP="00D87E39">
      <w:pPr>
        <w:pStyle w:val="Footer"/>
      </w:pPr>
    </w:p>
    <w:p w14:paraId="6926766E" w14:textId="7306E87F" w:rsidR="00BF0C9B" w:rsidRDefault="000A6D5B" w:rsidP="0012160A">
      <w:pPr>
        <w:pStyle w:val="Heading2"/>
      </w:pPr>
      <w:bookmarkStart w:id="7" w:name="_Toc168989927"/>
      <w:r>
        <w:t>How we will publicise the Complaints Process</w:t>
      </w:r>
      <w:bookmarkEnd w:id="7"/>
    </w:p>
    <w:p w14:paraId="22860BE3" w14:textId="4CD4252E" w:rsidR="00D87E39" w:rsidRDefault="002B034C" w:rsidP="00D87E39">
      <w:pPr>
        <w:rPr>
          <w:lang w:eastAsia="en-GB"/>
        </w:rPr>
      </w:pPr>
      <w:r>
        <w:t xml:space="preserve">We will ensure that we have a dedicated, easy to reach section on our website with information on our complaints process. This will include making available a copy of our complaints policy and procedure, the </w:t>
      </w:r>
      <w:r w:rsidR="001B6D36">
        <w:t>self-assessment against the Housing Ombudsman's Complaints Handling Code and our annual</w:t>
      </w:r>
      <w:r w:rsidR="00B71AB9">
        <w:t xml:space="preserve"> complaints performance and</w:t>
      </w:r>
      <w:r w:rsidR="001B6D36">
        <w:t xml:space="preserve"> </w:t>
      </w:r>
      <w:r w:rsidR="00EB61C5">
        <w:t>service improvement</w:t>
      </w:r>
      <w:r w:rsidR="00B71AB9">
        <w:t xml:space="preserve"> report.</w:t>
      </w:r>
    </w:p>
    <w:p w14:paraId="294ACD52" w14:textId="77777777" w:rsidR="00D87E39" w:rsidRDefault="00D87E39" w:rsidP="00D87E39">
      <w:pPr>
        <w:rPr>
          <w:lang w:eastAsia="en-GB"/>
        </w:rPr>
      </w:pPr>
    </w:p>
    <w:p w14:paraId="6CAEC288" w14:textId="0568CEF3" w:rsidR="00B71AB9" w:rsidRDefault="00B71AB9" w:rsidP="00D87E39">
      <w:r>
        <w:lastRenderedPageBreak/>
        <w:t xml:space="preserve">We will also ensure that we provide </w:t>
      </w:r>
      <w:r w:rsidR="00820D3A">
        <w:t xml:space="preserve">a simplified guide for residents outlining the complaints process and </w:t>
      </w:r>
      <w:r w:rsidR="00FA05AD">
        <w:t>produce information videos that can be also used across social media platforms.</w:t>
      </w:r>
    </w:p>
    <w:p w14:paraId="02419A32" w14:textId="70125F14" w:rsidR="00FA05AD" w:rsidRDefault="00FA05AD" w:rsidP="00D87E39">
      <w:pPr>
        <w:rPr>
          <w:lang w:eastAsia="en-GB"/>
        </w:rPr>
      </w:pPr>
      <w:r>
        <w:br/>
        <w:t xml:space="preserve">We will ensure that information on the complaints process </w:t>
      </w:r>
      <w:r w:rsidR="00956842">
        <w:t>is included in our annual report to residents and is included in any other relevant resident publication.</w:t>
      </w:r>
    </w:p>
    <w:p w14:paraId="09B3FB43" w14:textId="77777777" w:rsidR="008314CA" w:rsidRPr="00D87E39" w:rsidRDefault="008314CA" w:rsidP="00D87E39">
      <w:pPr>
        <w:rPr>
          <w:lang w:eastAsia="en-GB"/>
        </w:rPr>
      </w:pPr>
    </w:p>
    <w:p w14:paraId="13D2AF8D" w14:textId="3F86E732" w:rsidR="008F0BF0" w:rsidRDefault="00D53DD9" w:rsidP="00D614DD">
      <w:pPr>
        <w:pStyle w:val="Heading1"/>
      </w:pPr>
      <w:bookmarkStart w:id="8" w:name="_Toc168989928"/>
      <w:r>
        <w:t>The Housing Ombudsman and your complaint</w:t>
      </w:r>
      <w:bookmarkEnd w:id="8"/>
    </w:p>
    <w:p w14:paraId="6C1941EF" w14:textId="77777777" w:rsidR="008314CA" w:rsidRPr="008314CA" w:rsidRDefault="008314CA" w:rsidP="008314CA">
      <w:pPr>
        <w:pStyle w:val="Footer"/>
        <w:rPr>
          <w:lang w:eastAsia="en-GB"/>
        </w:rPr>
      </w:pPr>
    </w:p>
    <w:p w14:paraId="7BF55FBD" w14:textId="16198D93" w:rsidR="00A14536" w:rsidRDefault="008E059F" w:rsidP="00D614DD">
      <w:r w:rsidRPr="009E6C7B">
        <w:t>The H</w:t>
      </w:r>
      <w:r w:rsidR="008F0BF0">
        <w:t xml:space="preserve">ousing </w:t>
      </w:r>
      <w:r>
        <w:t>O</w:t>
      </w:r>
      <w:r w:rsidR="008F0BF0">
        <w:t>mbudsman</w:t>
      </w:r>
      <w:r w:rsidRPr="009E6C7B">
        <w:t xml:space="preserve"> is an independent, impartial, and free service for social housing residents. </w:t>
      </w:r>
      <w:r>
        <w:t xml:space="preserve">The </w:t>
      </w:r>
      <w:r w:rsidR="008F0BF0" w:rsidRPr="009E6C7B">
        <w:t>H</w:t>
      </w:r>
      <w:r w:rsidR="008F0BF0">
        <w:t>ousing Ombudsman</w:t>
      </w:r>
      <w:r w:rsidR="008F0BF0" w:rsidRPr="009E6C7B">
        <w:t xml:space="preserve"> </w:t>
      </w:r>
      <w:r w:rsidRPr="009E6C7B">
        <w:t>look</w:t>
      </w:r>
      <w:r>
        <w:t>s</w:t>
      </w:r>
      <w:r w:rsidRPr="009E6C7B">
        <w:t xml:space="preserve"> at complaints about housing organisations that are registered with </w:t>
      </w:r>
      <w:r>
        <w:t>them</w:t>
      </w:r>
      <w:r w:rsidRPr="009E6C7B">
        <w:t>. The outcome of the investigations includes remedies, orders, and recommendations.</w:t>
      </w:r>
    </w:p>
    <w:p w14:paraId="2066213D" w14:textId="77777777" w:rsidR="008557FA" w:rsidRDefault="00557182" w:rsidP="00D614DD">
      <w:r>
        <w:t xml:space="preserve">Complainants may </w:t>
      </w:r>
      <w:r w:rsidR="008557FA">
        <w:t xml:space="preserve">utilise the </w:t>
      </w:r>
      <w:r w:rsidR="002E2C3A">
        <w:t>Housing Ombudsman</w:t>
      </w:r>
      <w:r w:rsidR="008557FA">
        <w:t xml:space="preserve"> services if:</w:t>
      </w:r>
    </w:p>
    <w:p w14:paraId="581AEBFC" w14:textId="77777777" w:rsidR="008557FA" w:rsidRDefault="008557FA" w:rsidP="008557FA">
      <w:pPr>
        <w:pStyle w:val="NumberList"/>
      </w:pPr>
      <w:r>
        <w:t>Their complaint has gone through both stages 1 and 2 and they are still unhappy with how the matter was dealt with/it is still unresolved</w:t>
      </w:r>
    </w:p>
    <w:p w14:paraId="3380FF0D" w14:textId="0BEDE6D4" w:rsidR="00A2466A" w:rsidRDefault="008557FA" w:rsidP="00676FC0">
      <w:pPr>
        <w:pStyle w:val="NumberList"/>
      </w:pPr>
      <w:r>
        <w:t xml:space="preserve">If </w:t>
      </w:r>
      <w:r w:rsidR="007072B7">
        <w:t>they expressed dissatisfaction and this was not accepted as a complaint by the organisation, nor were they provided</w:t>
      </w:r>
      <w:r w:rsidR="00FD298A">
        <w:t xml:space="preserve"> with reasoning as to why this was the case</w:t>
      </w:r>
      <w:r w:rsidR="00AE1AB1">
        <w:t xml:space="preserve"> </w:t>
      </w:r>
    </w:p>
    <w:p w14:paraId="6EB03D9A" w14:textId="77777777" w:rsidR="00752B85" w:rsidRDefault="00752B85" w:rsidP="00752B85">
      <w:r>
        <w:t>The Ombudsman can be contacted through the following channels</w:t>
      </w:r>
    </w:p>
    <w:p w14:paraId="2192FB2A" w14:textId="3D71CCA9" w:rsidR="00752B85" w:rsidRDefault="00752B85" w:rsidP="00752B85">
      <w:r w:rsidRPr="00803100">
        <w:t>Website:</w:t>
      </w:r>
      <w:r w:rsidRPr="00AE16BC">
        <w:t xml:space="preserve"> </w:t>
      </w:r>
      <w:hyperlink r:id="rId14" w:history="1">
        <w:r w:rsidR="005D3C5F" w:rsidRPr="005D3C5F">
          <w:rPr>
            <w:rStyle w:val="Hyperlink"/>
          </w:rPr>
          <w:t>housing-ombudsman.org.uk</w:t>
        </w:r>
      </w:hyperlink>
    </w:p>
    <w:p w14:paraId="1470EE09" w14:textId="27CCB3DC" w:rsidR="00752B85" w:rsidRDefault="00752B85" w:rsidP="00D614DD">
      <w:r w:rsidRPr="00AE16BC">
        <w:t xml:space="preserve">Telephone: </w:t>
      </w:r>
      <w:r w:rsidR="00627A94" w:rsidRPr="00627A94">
        <w:t>0300 111 3000</w:t>
      </w:r>
      <w:r>
        <w:br/>
      </w:r>
      <w:r w:rsidRPr="00AE16BC">
        <w:t>Post:</w:t>
      </w:r>
      <w:r>
        <w:tab/>
      </w:r>
      <w:r w:rsidR="00627A94" w:rsidRPr="00627A94">
        <w:t>PO Box 152</w:t>
      </w:r>
      <w:r w:rsidR="00627A94" w:rsidRPr="00627A94">
        <w:br/>
      </w:r>
      <w:r w:rsidR="00627A94">
        <w:t xml:space="preserve">           </w:t>
      </w:r>
      <w:r w:rsidR="00627A94" w:rsidRPr="00627A94">
        <w:t>Liverpool L33 7WQ </w:t>
      </w:r>
    </w:p>
    <w:p w14:paraId="6493AD58" w14:textId="435E51B2" w:rsidR="00D614DD" w:rsidRPr="00D614DD" w:rsidRDefault="00D614DD" w:rsidP="00D614DD">
      <w:r w:rsidRPr="00D614DD">
        <w:t>Under the Social Housing (Regulation) Act 2023, the H</w:t>
      </w:r>
      <w:r w:rsidR="00831E54">
        <w:t xml:space="preserve">ousing </w:t>
      </w:r>
      <w:r w:rsidRPr="00D614DD">
        <w:t>O</w:t>
      </w:r>
      <w:r w:rsidR="00831E54">
        <w:t>mbudsman</w:t>
      </w:r>
      <w:r w:rsidRPr="00D614DD">
        <w:t xml:space="preserve">’s </w:t>
      </w:r>
      <w:r w:rsidR="007818A8">
        <w:t>C</w:t>
      </w:r>
      <w:r w:rsidRPr="00D614DD">
        <w:t xml:space="preserve">omplaint </w:t>
      </w:r>
      <w:r w:rsidR="007818A8">
        <w:t>H</w:t>
      </w:r>
      <w:r w:rsidRPr="00D614DD">
        <w:t xml:space="preserve">andling </w:t>
      </w:r>
      <w:r w:rsidR="007818A8">
        <w:t>C</w:t>
      </w:r>
      <w:r w:rsidRPr="00D614DD">
        <w:t xml:space="preserve">ode became </w:t>
      </w:r>
      <w:r w:rsidR="00831E54">
        <w:t>statutory</w:t>
      </w:r>
      <w:r w:rsidRPr="00D614DD">
        <w:t xml:space="preserve"> on 1 April 2024</w:t>
      </w:r>
      <w:r w:rsidR="00A12539">
        <w:t>. The purpose of the</w:t>
      </w:r>
      <w:r w:rsidR="005A3AF1">
        <w:t xml:space="preserve"> H</w:t>
      </w:r>
      <w:r w:rsidR="00831E54">
        <w:t xml:space="preserve">ousing </w:t>
      </w:r>
      <w:r w:rsidR="005A3AF1">
        <w:t>O</w:t>
      </w:r>
      <w:r w:rsidR="00831E54">
        <w:t>mbudsman</w:t>
      </w:r>
      <w:r w:rsidR="005A3AF1">
        <w:t>'s</w:t>
      </w:r>
      <w:r w:rsidR="00A12539">
        <w:t xml:space="preserve"> </w:t>
      </w:r>
      <w:r w:rsidR="003D26A3">
        <w:t>c</w:t>
      </w:r>
      <w:r w:rsidR="00A12539">
        <w:t>ode is to</w:t>
      </w:r>
      <w:r w:rsidR="007514EA">
        <w:t xml:space="preserve"> enable </w:t>
      </w:r>
      <w:r w:rsidR="00425CF7">
        <w:t xml:space="preserve">us to </w:t>
      </w:r>
      <w:r w:rsidR="005A1A8D">
        <w:t>create</w:t>
      </w:r>
      <w:r w:rsidR="009749E6">
        <w:t xml:space="preserve"> </w:t>
      </w:r>
      <w:r w:rsidR="007514EA">
        <w:t>a positive complaints culture and support early complaint resolution.</w:t>
      </w:r>
      <w:r w:rsidR="00D45B78">
        <w:t xml:space="preserve"> </w:t>
      </w:r>
    </w:p>
    <w:p w14:paraId="29BB3C7E" w14:textId="61A82A69" w:rsidR="008314CA" w:rsidRDefault="0074583C" w:rsidP="00923EAF">
      <w:r>
        <w:t xml:space="preserve">Our complaints </w:t>
      </w:r>
      <w:r w:rsidR="00EA3363">
        <w:t>policy</w:t>
      </w:r>
      <w:r w:rsidR="00CB275A">
        <w:t xml:space="preserve"> and procedure</w:t>
      </w:r>
      <w:r w:rsidR="004F26BA">
        <w:t xml:space="preserve"> is avai</w:t>
      </w:r>
      <w:r w:rsidR="00923EAF">
        <w:t xml:space="preserve">lable </w:t>
      </w:r>
      <w:r w:rsidR="00A121F0">
        <w:t>on our website</w:t>
      </w:r>
      <w:r w:rsidR="003D26A3">
        <w:t xml:space="preserve"> with links to other relevant documents, including </w:t>
      </w:r>
      <w:r w:rsidR="00482DE2">
        <w:t>a copy of our</w:t>
      </w:r>
      <w:r w:rsidR="003D26A3">
        <w:t xml:space="preserve"> self-assessment against the </w:t>
      </w:r>
      <w:r w:rsidR="00482DE2">
        <w:t>revised H</w:t>
      </w:r>
      <w:r w:rsidR="00C42879">
        <w:t xml:space="preserve">ousing </w:t>
      </w:r>
      <w:r w:rsidR="00482DE2">
        <w:t>O</w:t>
      </w:r>
      <w:r w:rsidR="00C42879">
        <w:t>mbudsman's</w:t>
      </w:r>
      <w:r w:rsidR="003D26A3">
        <w:t xml:space="preserve"> code</w:t>
      </w:r>
      <w:r w:rsidR="00A121F0">
        <w:t>.</w:t>
      </w:r>
      <w:r w:rsidR="007743C6">
        <w:t xml:space="preserve"> </w:t>
      </w:r>
    </w:p>
    <w:p w14:paraId="0FED7039" w14:textId="39C3118B" w:rsidR="00C42879" w:rsidRPr="00C42879" w:rsidRDefault="00BD6756" w:rsidP="00C42879">
      <w:pPr>
        <w:pStyle w:val="Heading1"/>
      </w:pPr>
      <w:bookmarkStart w:id="9" w:name="_Toc168989929"/>
      <w:r>
        <w:lastRenderedPageBreak/>
        <w:t>Timescales</w:t>
      </w:r>
      <w:bookmarkEnd w:id="9"/>
    </w:p>
    <w:tbl>
      <w:tblPr>
        <w:tblStyle w:val="TableGrid"/>
        <w:tblW w:w="0" w:type="auto"/>
        <w:tblInd w:w="567" w:type="dxa"/>
        <w:tblLook w:val="04A0" w:firstRow="1" w:lastRow="0" w:firstColumn="1" w:lastColumn="0" w:noHBand="0" w:noVBand="1"/>
      </w:tblPr>
      <w:tblGrid>
        <w:gridCol w:w="2638"/>
        <w:gridCol w:w="5811"/>
      </w:tblGrid>
      <w:tr w:rsidR="00BD6756" w14:paraId="72559B9B" w14:textId="77777777" w:rsidTr="00C42879">
        <w:tc>
          <w:tcPr>
            <w:tcW w:w="2638" w:type="dxa"/>
          </w:tcPr>
          <w:p w14:paraId="5A73BD8B" w14:textId="77777777" w:rsidR="00BD6756" w:rsidRPr="00BD6756" w:rsidRDefault="00BD6756" w:rsidP="00293FB0">
            <w:pPr>
              <w:pStyle w:val="BoldNormal"/>
              <w:framePr w:wrap="around"/>
            </w:pPr>
            <w:r w:rsidRPr="00AE16BC">
              <w:t>Acknowledgements</w:t>
            </w:r>
          </w:p>
        </w:tc>
        <w:tc>
          <w:tcPr>
            <w:tcW w:w="5811" w:type="dxa"/>
          </w:tcPr>
          <w:p w14:paraId="253B631A" w14:textId="6F0B4BAD" w:rsidR="00BD6756" w:rsidRPr="00BD6756" w:rsidRDefault="00C42879" w:rsidP="00BD6756">
            <w:r>
              <w:t>We</w:t>
            </w:r>
            <w:r w:rsidR="00BD6756" w:rsidRPr="00AE16BC">
              <w:t xml:space="preserve"> </w:t>
            </w:r>
            <w:r w:rsidR="009B7D77">
              <w:t>aim to</w:t>
            </w:r>
            <w:r w:rsidR="00BD6756" w:rsidRPr="00AE16BC">
              <w:t xml:space="preserve"> acknowledge receipt of a formal complaint within </w:t>
            </w:r>
            <w:r w:rsidR="009B7D77">
              <w:t>2 working days of receipt and no later than 5 working days.</w:t>
            </w:r>
            <w:r w:rsidR="00BD6756" w:rsidRPr="00AE16BC">
              <w:t xml:space="preserve">  </w:t>
            </w:r>
          </w:p>
        </w:tc>
      </w:tr>
      <w:tr w:rsidR="00BD6756" w14:paraId="39515610" w14:textId="77777777" w:rsidTr="00C42879">
        <w:tc>
          <w:tcPr>
            <w:tcW w:w="2638" w:type="dxa"/>
          </w:tcPr>
          <w:p w14:paraId="5F26D3DD" w14:textId="77777777" w:rsidR="00BD6756" w:rsidRPr="00BD6756" w:rsidRDefault="00BD6756" w:rsidP="00293FB0">
            <w:pPr>
              <w:pStyle w:val="BoldNormal"/>
              <w:framePr w:wrap="around"/>
            </w:pPr>
            <w:r w:rsidRPr="00AE16BC">
              <w:t>Stage 1 Complaints</w:t>
            </w:r>
          </w:p>
        </w:tc>
        <w:tc>
          <w:tcPr>
            <w:tcW w:w="5811" w:type="dxa"/>
          </w:tcPr>
          <w:p w14:paraId="1B2D70E9" w14:textId="39674E70" w:rsidR="006F58B4" w:rsidRPr="00BD6756" w:rsidRDefault="00BD6756" w:rsidP="00BD6756">
            <w:r w:rsidRPr="00AE16BC">
              <w:t xml:space="preserve">We aim to respond to </w:t>
            </w:r>
            <w:r w:rsidR="009B7D77">
              <w:t>S</w:t>
            </w:r>
            <w:r w:rsidRPr="00AE16BC">
              <w:t>tage 1 complaints within 10 working days. In more complex cases</w:t>
            </w:r>
            <w:r w:rsidR="00D751C8">
              <w:t>,</w:t>
            </w:r>
            <w:r w:rsidRPr="00AE16BC">
              <w:t xml:space="preserve"> we may extend the timescales by a further 10 working days with agreement from the complainant.</w:t>
            </w:r>
            <w:r w:rsidR="006C69AD">
              <w:rPr>
                <w:rStyle w:val="Heading1Char"/>
              </w:rPr>
              <w:t xml:space="preserve"> </w:t>
            </w:r>
            <w:r w:rsidR="001C6116">
              <w:rPr>
                <w:rFonts w:eastAsiaTheme="majorEastAsia"/>
              </w:rPr>
              <w:t>Reason(s) for the extension will be</w:t>
            </w:r>
            <w:r w:rsidR="006C69AD" w:rsidRPr="006C69AD">
              <w:rPr>
                <w:lang w:eastAsia="en-US"/>
              </w:rPr>
              <w:t xml:space="preserve"> clearly explained to the resident.</w:t>
            </w:r>
            <w:r w:rsidR="001A22DB">
              <w:t xml:space="preserve"> </w:t>
            </w:r>
            <w:r w:rsidR="001E2EE1">
              <w:t>We</w:t>
            </w:r>
            <w:r w:rsidR="006F58B4" w:rsidRPr="006F58B4">
              <w:t xml:space="preserve"> </w:t>
            </w:r>
            <w:r w:rsidR="00FF3C15">
              <w:t xml:space="preserve">will </w:t>
            </w:r>
            <w:r w:rsidR="001E2EE1">
              <w:t xml:space="preserve">also </w:t>
            </w:r>
            <w:r w:rsidR="006F58B4" w:rsidRPr="006F58B4">
              <w:t xml:space="preserve">signpost the resident to the Housing Ombudsman Service </w:t>
            </w:r>
            <w:r w:rsidR="001E2EE1">
              <w:t>if they wish to seek an</w:t>
            </w:r>
            <w:r w:rsidR="006F58B4" w:rsidRPr="006F58B4">
              <w:t xml:space="preserve"> independent review.</w:t>
            </w:r>
          </w:p>
        </w:tc>
      </w:tr>
      <w:tr w:rsidR="00BD6756" w14:paraId="2EF22FB4" w14:textId="77777777" w:rsidTr="00C42879">
        <w:trPr>
          <w:trHeight w:val="1210"/>
        </w:trPr>
        <w:tc>
          <w:tcPr>
            <w:tcW w:w="2638" w:type="dxa"/>
          </w:tcPr>
          <w:p w14:paraId="005F7F3B" w14:textId="77777777" w:rsidR="00BD6756" w:rsidRPr="00BD6756" w:rsidRDefault="00BD6756" w:rsidP="00293FB0">
            <w:pPr>
              <w:pStyle w:val="BoldNormal"/>
              <w:framePr w:wrap="around"/>
            </w:pPr>
            <w:r w:rsidRPr="00AE16BC">
              <w:t xml:space="preserve"> Stage 2 Complaints</w:t>
            </w:r>
          </w:p>
        </w:tc>
        <w:tc>
          <w:tcPr>
            <w:tcW w:w="5811" w:type="dxa"/>
          </w:tcPr>
          <w:p w14:paraId="6AA09E9F" w14:textId="7610D9FC" w:rsidR="00BD6756" w:rsidRPr="00BD6756" w:rsidRDefault="00BD6756" w:rsidP="00BD6756">
            <w:pPr>
              <w:rPr>
                <w:rFonts w:eastAsia="Century Gothic"/>
              </w:rPr>
            </w:pPr>
            <w:r w:rsidRPr="00AE16BC">
              <w:t>Stage 2 complaints</w:t>
            </w:r>
            <w:r w:rsidR="005841E6">
              <w:t xml:space="preserve"> will be acknowledged, </w:t>
            </w:r>
            <w:r w:rsidR="00DF2E3B">
              <w:t>defined,</w:t>
            </w:r>
            <w:r w:rsidR="005841E6">
              <w:t xml:space="preserve"> and logged</w:t>
            </w:r>
            <w:r w:rsidR="00063A19">
              <w:t xml:space="preserve"> within 5 working days of the escalation request being received. </w:t>
            </w:r>
            <w:r w:rsidRPr="00AE16BC">
              <w:t xml:space="preserve">These will generally be responded to within 20 working days. In more complex cases, </w:t>
            </w:r>
            <w:r w:rsidR="00C42879">
              <w:t>we</w:t>
            </w:r>
            <w:r w:rsidR="00E734D7">
              <w:t xml:space="preserve"> </w:t>
            </w:r>
            <w:r w:rsidRPr="00AE16BC">
              <w:t xml:space="preserve">may extend the timeline by a further </w:t>
            </w:r>
            <w:r w:rsidR="00674041">
              <w:t>2</w:t>
            </w:r>
            <w:r w:rsidRPr="00AE16BC">
              <w:t>0 working days.</w:t>
            </w:r>
            <w:r w:rsidR="002E16AD" w:rsidRPr="006F58B4">
              <w:t xml:space="preserve"> </w:t>
            </w:r>
            <w:r w:rsidR="001E2EE1">
              <w:t xml:space="preserve">We will also provide the resident with contact details </w:t>
            </w:r>
            <w:r w:rsidR="00F75A63">
              <w:t>for</w:t>
            </w:r>
            <w:r w:rsidR="001E2EE1">
              <w:t xml:space="preserve"> the</w:t>
            </w:r>
            <w:r w:rsidR="002E16AD" w:rsidRPr="002E16AD">
              <w:t xml:space="preserve"> Housing Ombudsman Service </w:t>
            </w:r>
            <w:r w:rsidR="00F75A63">
              <w:t>if they wish to seek an</w:t>
            </w:r>
            <w:r w:rsidR="002E16AD" w:rsidRPr="002E16AD">
              <w:t xml:space="preserve"> independent review.</w:t>
            </w:r>
          </w:p>
        </w:tc>
      </w:tr>
    </w:tbl>
    <w:p w14:paraId="1C1CCA82" w14:textId="77777777" w:rsidR="00BD6756" w:rsidRDefault="00BD6756" w:rsidP="00BD6756"/>
    <w:p w14:paraId="4DC96EB9" w14:textId="77777777" w:rsidR="009C1A5F" w:rsidRPr="00BD6756" w:rsidRDefault="009C1A5F" w:rsidP="00BD6756"/>
    <w:p w14:paraId="5A644401" w14:textId="0FC9E2F7" w:rsidR="009C1A5F" w:rsidRDefault="00BD6756" w:rsidP="009C1A5F">
      <w:pPr>
        <w:pStyle w:val="Heading1"/>
      </w:pPr>
      <w:bookmarkStart w:id="10" w:name="_Toc168989930"/>
      <w:r>
        <w:t>Complaint Stages</w:t>
      </w:r>
      <w:bookmarkEnd w:id="10"/>
    </w:p>
    <w:p w14:paraId="61723AE9" w14:textId="77777777" w:rsidR="004A6253" w:rsidRPr="004A6253" w:rsidRDefault="004A6253" w:rsidP="000A2948">
      <w:pPr>
        <w:pStyle w:val="Footer"/>
        <w:rPr>
          <w:lang w:eastAsia="en-GB"/>
        </w:rPr>
      </w:pPr>
    </w:p>
    <w:p w14:paraId="273357C6" w14:textId="77777777" w:rsidR="00BD6756" w:rsidRPr="00AE16BC" w:rsidRDefault="00BD6756" w:rsidP="00CE059B">
      <w:pPr>
        <w:pStyle w:val="Heading2"/>
      </w:pPr>
      <w:bookmarkStart w:id="11" w:name="_Toc168989931"/>
      <w:r w:rsidRPr="00AE16BC">
        <w:t>Stage 1 - Complaints Investigation</w:t>
      </w:r>
      <w:bookmarkEnd w:id="11"/>
      <w:r w:rsidRPr="00AE16BC">
        <w:t xml:space="preserve"> </w:t>
      </w:r>
    </w:p>
    <w:p w14:paraId="77BB1633" w14:textId="154FDF2B" w:rsidR="00BD6756" w:rsidRDefault="00BD6756" w:rsidP="00B05423">
      <w:pPr>
        <w:pStyle w:val="ListBullet"/>
      </w:pPr>
      <w:r w:rsidRPr="00AE16BC">
        <w:t xml:space="preserve">A Housing Service Advisor records the complaint on </w:t>
      </w:r>
      <w:r w:rsidR="004A6253">
        <w:t>our complaints management system</w:t>
      </w:r>
      <w:r w:rsidRPr="00AE16BC">
        <w:t>. Each complaint is given a unique reference number.</w:t>
      </w:r>
      <w:r w:rsidR="00BF4979">
        <w:t xml:space="preserve"> </w:t>
      </w:r>
      <w:r w:rsidRPr="00AE16BC">
        <w:t>Once the case is assessed, an acknowledgement letter is sent, and the case</w:t>
      </w:r>
      <w:r w:rsidR="008F4CD1">
        <w:t xml:space="preserve"> is</w:t>
      </w:r>
      <w:r w:rsidRPr="00AE16BC">
        <w:t xml:space="preserve"> assigned to the service area responsible for providing the service. </w:t>
      </w:r>
    </w:p>
    <w:p w14:paraId="0D48A0C3" w14:textId="77777777" w:rsidR="00055EE0" w:rsidRPr="00AE16BC" w:rsidRDefault="00055EE0" w:rsidP="00055EE0">
      <w:pPr>
        <w:pStyle w:val="ListBullet"/>
        <w:numPr>
          <w:ilvl w:val="0"/>
          <w:numId w:val="0"/>
        </w:numPr>
        <w:ind w:left="360"/>
      </w:pPr>
    </w:p>
    <w:p w14:paraId="0A6C8D79" w14:textId="7262F245" w:rsidR="00055EE0" w:rsidRDefault="00BB2DE8" w:rsidP="00BB2DE8">
      <w:pPr>
        <w:pStyle w:val="ListBullet"/>
      </w:pPr>
      <w:r w:rsidRPr="00BB2DE8">
        <w:t>When a complaint is received which requires a response from more than once service, the service responsible for the main aspect of the complaint will lead the investigation and obtain responses from any additional service to include in the final response.</w:t>
      </w:r>
    </w:p>
    <w:p w14:paraId="522F38C0" w14:textId="77777777" w:rsidR="00BB2DE8" w:rsidRDefault="00BB2DE8" w:rsidP="00742BAF">
      <w:pPr>
        <w:pStyle w:val="ListBullet"/>
        <w:numPr>
          <w:ilvl w:val="0"/>
          <w:numId w:val="0"/>
        </w:numPr>
      </w:pPr>
    </w:p>
    <w:p w14:paraId="1AFCB20C" w14:textId="6ADE8F3F" w:rsidR="00055EE0" w:rsidRPr="00AE16BC" w:rsidRDefault="00055EE0" w:rsidP="00055EE0">
      <w:pPr>
        <w:pStyle w:val="ListBullet"/>
      </w:pPr>
      <w:r w:rsidRPr="00AE16BC">
        <w:t xml:space="preserve">A Senior Officer or Team Leader </w:t>
      </w:r>
      <w:r>
        <w:t xml:space="preserve">within the responsible service </w:t>
      </w:r>
      <w:r w:rsidRPr="00AE16BC">
        <w:t>will review the case and allocate a named case handler.</w:t>
      </w:r>
      <w:r w:rsidR="00BB2DE8">
        <w:t xml:space="preserve"> Where a complaint is about an individual member of staff, the complaint will be allocated to their manager to investigate.</w:t>
      </w:r>
    </w:p>
    <w:p w14:paraId="766C2CEA" w14:textId="77777777" w:rsidR="005C126A" w:rsidRDefault="005C126A" w:rsidP="005C126A">
      <w:pPr>
        <w:pStyle w:val="ListBullet"/>
        <w:numPr>
          <w:ilvl w:val="0"/>
          <w:numId w:val="0"/>
        </w:numPr>
      </w:pPr>
    </w:p>
    <w:p w14:paraId="57DC5FA4" w14:textId="0F3F85E2" w:rsidR="00D92F2C" w:rsidRDefault="005C126A" w:rsidP="005C126A">
      <w:pPr>
        <w:pStyle w:val="ListBullet"/>
      </w:pPr>
      <w:r w:rsidRPr="00AE16BC">
        <w:t xml:space="preserve">The case </w:t>
      </w:r>
      <w:r w:rsidRPr="005C126A">
        <w:t xml:space="preserve">handler must phone the complainant within </w:t>
      </w:r>
      <w:r w:rsidR="000E7547">
        <w:t>2</w:t>
      </w:r>
      <w:r w:rsidRPr="005C126A">
        <w:t xml:space="preserve"> working </w:t>
      </w:r>
      <w:r w:rsidR="000E7547">
        <w:t>days</w:t>
      </w:r>
      <w:r w:rsidRPr="005C126A">
        <w:t xml:space="preserve"> to </w:t>
      </w:r>
      <w:r w:rsidR="002D1596">
        <w:t>set out their understanding of the issues, seek any further clarification</w:t>
      </w:r>
      <w:r w:rsidR="000E7547">
        <w:t>,</w:t>
      </w:r>
      <w:r w:rsidR="002D1596">
        <w:t xml:space="preserve"> </w:t>
      </w:r>
      <w:r w:rsidRPr="005C126A">
        <w:t>and explore the possibility of agreeing a plan of action to resolve the problem.</w:t>
      </w:r>
    </w:p>
    <w:p w14:paraId="1313A6CA" w14:textId="77777777" w:rsidR="0067148A" w:rsidRDefault="0067148A" w:rsidP="0067148A">
      <w:pPr>
        <w:pStyle w:val="ListBullet"/>
        <w:numPr>
          <w:ilvl w:val="0"/>
          <w:numId w:val="0"/>
        </w:numPr>
        <w:ind w:left="360"/>
      </w:pPr>
    </w:p>
    <w:p w14:paraId="58F66F20" w14:textId="77777777" w:rsidR="007F76D0" w:rsidRDefault="007F76D0" w:rsidP="007F76D0">
      <w:pPr>
        <w:pStyle w:val="ListBullet"/>
        <w:numPr>
          <w:ilvl w:val="0"/>
          <w:numId w:val="0"/>
        </w:numPr>
        <w:ind w:left="360"/>
      </w:pPr>
    </w:p>
    <w:p w14:paraId="107F4B8E" w14:textId="219E54ED" w:rsidR="0012160A" w:rsidRDefault="0012160A" w:rsidP="0012160A">
      <w:pPr>
        <w:pStyle w:val="ListBullet"/>
      </w:pPr>
      <w:r>
        <w:t>For complaints about our repairs service, we may rely on our contractors to carry out initial investigations</w:t>
      </w:r>
      <w:r w:rsidR="00742BAF">
        <w:t xml:space="preserve">, </w:t>
      </w:r>
      <w:r>
        <w:t>make contact with the complainant</w:t>
      </w:r>
      <w:r w:rsidR="00742BAF">
        <w:t xml:space="preserve"> and aid in drafting the response</w:t>
      </w:r>
      <w:r>
        <w:t>. Contractors will be</w:t>
      </w:r>
      <w:r w:rsidR="00DF70AC">
        <w:t xml:space="preserve"> required to ensure they adhere to the principles outlined in this policy.</w:t>
      </w:r>
      <w:r w:rsidR="00D17861">
        <w:t xml:space="preserve"> All responses will be reviewed and owned by the Council.</w:t>
      </w:r>
    </w:p>
    <w:p w14:paraId="7117EAAC" w14:textId="77777777" w:rsidR="00AE748F" w:rsidRDefault="00AE748F" w:rsidP="00FF0549">
      <w:pPr>
        <w:pStyle w:val="ListBullet"/>
        <w:numPr>
          <w:ilvl w:val="0"/>
          <w:numId w:val="0"/>
        </w:numPr>
      </w:pPr>
    </w:p>
    <w:p w14:paraId="42EAC0BF" w14:textId="77777777" w:rsidR="00FF6A5A" w:rsidRDefault="00FF6A5A" w:rsidP="00FF6A5A">
      <w:pPr>
        <w:pStyle w:val="ListBullet"/>
      </w:pPr>
      <w:r w:rsidRPr="00AE16BC">
        <w:t xml:space="preserve">Where a complaint can be resolved within 5 working days without the need for an investigation (subject to agreement from the complainant), the resolution will be confirmed in writing, using the </w:t>
      </w:r>
      <w:r>
        <w:t>S</w:t>
      </w:r>
      <w:r w:rsidRPr="00AE16BC">
        <w:t>tage 1 response template</w:t>
      </w:r>
      <w:r>
        <w:t>,</w:t>
      </w:r>
      <w:r w:rsidRPr="00AE16BC">
        <w:t xml:space="preserve"> and can be authorised by a Team Leader or Manager. Cases that </w:t>
      </w:r>
      <w:r>
        <w:t>require</w:t>
      </w:r>
      <w:r w:rsidRPr="00AE16BC">
        <w:t xml:space="preserve"> an investigation and cannot be responded to within 5 working days will need to be approved by the Head of Service.  This will be closely monitored by the Customer Relations Team.</w:t>
      </w:r>
    </w:p>
    <w:p w14:paraId="2DB4241D" w14:textId="77777777" w:rsidR="00FF6A5A" w:rsidRDefault="00FF6A5A" w:rsidP="00FF6A5A">
      <w:pPr>
        <w:pStyle w:val="ListBullet"/>
        <w:numPr>
          <w:ilvl w:val="0"/>
          <w:numId w:val="0"/>
        </w:numPr>
        <w:ind w:left="360"/>
      </w:pPr>
    </w:p>
    <w:p w14:paraId="08D0A792" w14:textId="139FA71B" w:rsidR="00AE748F" w:rsidRDefault="00AE748F" w:rsidP="00AE748F">
      <w:pPr>
        <w:pStyle w:val="ListBullet"/>
      </w:pPr>
      <w:r w:rsidRPr="00AE16BC">
        <w:t xml:space="preserve">Responses should be an assessment and evaluation of the events that led up to the complaint being registered. The </w:t>
      </w:r>
      <w:r>
        <w:t>response</w:t>
      </w:r>
      <w:r w:rsidR="00374040">
        <w:t xml:space="preserve"> should be in plain English and</w:t>
      </w:r>
      <w:r>
        <w:t xml:space="preserve"> should outline;</w:t>
      </w:r>
    </w:p>
    <w:p w14:paraId="47B93E77" w14:textId="77777777" w:rsidR="00AE748F" w:rsidRPr="00AE748F" w:rsidRDefault="00AE748F" w:rsidP="00AE748F">
      <w:pPr>
        <w:pStyle w:val="abcList"/>
      </w:pPr>
      <w:r w:rsidRPr="00D33658">
        <w:t>the complaint stage;</w:t>
      </w:r>
      <w:r w:rsidRPr="00AE748F">
        <w:t> </w:t>
      </w:r>
    </w:p>
    <w:p w14:paraId="289E3E70" w14:textId="77777777" w:rsidR="00AE748F" w:rsidRPr="00AE748F" w:rsidRDefault="00AE748F" w:rsidP="00AE748F">
      <w:pPr>
        <w:pStyle w:val="abcList"/>
      </w:pPr>
      <w:r w:rsidRPr="00D33658">
        <w:t>the complaint definition;</w:t>
      </w:r>
    </w:p>
    <w:p w14:paraId="59CE150B" w14:textId="77777777" w:rsidR="00AE748F" w:rsidRPr="00AE748F" w:rsidRDefault="00AE748F" w:rsidP="00AE748F">
      <w:pPr>
        <w:pStyle w:val="abcList"/>
      </w:pPr>
      <w:r w:rsidRPr="00D33658">
        <w:t>the decision on the complaint</w:t>
      </w:r>
      <w:r w:rsidRPr="00AE748F">
        <w:t xml:space="preserve"> and the reasons for any decisions made</w:t>
      </w:r>
    </w:p>
    <w:p w14:paraId="520A3657" w14:textId="77777777" w:rsidR="00AE748F" w:rsidRPr="00AE748F" w:rsidRDefault="00AE748F" w:rsidP="00AE748F">
      <w:pPr>
        <w:pStyle w:val="abcList"/>
      </w:pPr>
      <w:r w:rsidRPr="00D33658">
        <w:t>the details of any remedy offered to put things right;</w:t>
      </w:r>
      <w:r w:rsidRPr="00AE748F">
        <w:t> </w:t>
      </w:r>
    </w:p>
    <w:p w14:paraId="6CD37E4C" w14:textId="77777777" w:rsidR="00AE748F" w:rsidRPr="00AE748F" w:rsidRDefault="00AE748F" w:rsidP="00AE748F">
      <w:pPr>
        <w:pStyle w:val="abcList"/>
      </w:pPr>
      <w:r w:rsidRPr="00D33658">
        <w:t>details of any outstanding actions</w:t>
      </w:r>
      <w:r w:rsidRPr="00AE748F">
        <w:t xml:space="preserve"> (which should be tracked through the complaints management system); and details of how to escalate the matter to Stage 2 if the individual is not satisfied with the response. </w:t>
      </w:r>
    </w:p>
    <w:p w14:paraId="4007DDB1" w14:textId="0C32B29E" w:rsidR="00AE748F" w:rsidRDefault="00AE748F" w:rsidP="00AE748F">
      <w:pPr>
        <w:pStyle w:val="ListBullet"/>
      </w:pPr>
      <w:r>
        <w:t>The</w:t>
      </w:r>
      <w:r w:rsidRPr="00AE748F">
        <w:t xml:space="preserve"> response must address all points raised in the complaint definition and provide clear reasons for any decisions, referencing the relevant policy, law and good practice where appropriate.</w:t>
      </w:r>
    </w:p>
    <w:p w14:paraId="64C5495B" w14:textId="77777777" w:rsidR="00FF0549" w:rsidRDefault="00FF0549" w:rsidP="00FF0549">
      <w:pPr>
        <w:pStyle w:val="ListBullet"/>
        <w:numPr>
          <w:ilvl w:val="0"/>
          <w:numId w:val="0"/>
        </w:numPr>
        <w:ind w:left="360"/>
      </w:pPr>
    </w:p>
    <w:p w14:paraId="5A6EB729" w14:textId="6E2247DF" w:rsidR="00FF0549" w:rsidRDefault="00FF0549" w:rsidP="00AE748F">
      <w:pPr>
        <w:pStyle w:val="ListBullet"/>
      </w:pPr>
      <w:r>
        <w:t>If during the course of the investigation the resident raises other issues which are linked, these should be incorporated into the Stage 1 response</w:t>
      </w:r>
      <w:r w:rsidR="00B36A61">
        <w:t>. If the response has already been issued or the matter raised are unconnected, a separate Stage 1 complaint should be logged.</w:t>
      </w:r>
    </w:p>
    <w:p w14:paraId="4DA123A4" w14:textId="77777777" w:rsidR="005C126A" w:rsidRDefault="005C126A" w:rsidP="005C126A">
      <w:pPr>
        <w:pStyle w:val="ListBullet"/>
        <w:numPr>
          <w:ilvl w:val="0"/>
          <w:numId w:val="0"/>
        </w:numPr>
        <w:ind w:left="360"/>
      </w:pPr>
    </w:p>
    <w:p w14:paraId="5F4FA979" w14:textId="3A8723E4" w:rsidR="00BD6756" w:rsidRDefault="00BD6756" w:rsidP="005C126A">
      <w:pPr>
        <w:pStyle w:val="ListBullet"/>
      </w:pPr>
      <w:r w:rsidRPr="00AE16BC">
        <w:t xml:space="preserve">If more time is needed to provide a comprehensive response, the service area must discuss this with the </w:t>
      </w:r>
      <w:r w:rsidR="00DA1BF4" w:rsidRPr="00AE16BC">
        <w:t xml:space="preserve">Customer Relations Team </w:t>
      </w:r>
      <w:r w:rsidRPr="00AE16BC">
        <w:t xml:space="preserve">and notify the </w:t>
      </w:r>
      <w:r w:rsidR="00DF0140">
        <w:t>complainant</w:t>
      </w:r>
      <w:r w:rsidRPr="00AE16BC">
        <w:t xml:space="preserve"> before the team authorises an extension on </w:t>
      </w:r>
      <w:r w:rsidR="004A6253">
        <w:t>our complaints management system</w:t>
      </w:r>
      <w:r w:rsidRPr="00AE16BC">
        <w:t>.</w:t>
      </w:r>
      <w:r w:rsidR="00B3307E">
        <w:t xml:space="preserve"> During </w:t>
      </w:r>
      <w:r w:rsidR="00DF0140">
        <w:t>the</w:t>
      </w:r>
      <w:r w:rsidR="00B3307E">
        <w:t xml:space="preserve"> </w:t>
      </w:r>
      <w:r w:rsidR="005B3F7F">
        <w:t>conversation</w:t>
      </w:r>
      <w:r w:rsidR="00DF0140">
        <w:t xml:space="preserve"> with the complainant</w:t>
      </w:r>
      <w:r w:rsidR="005B3F7F">
        <w:t xml:space="preserve"> suitable intervals for providing updates should also be agreed. This should be tracked using the 'To Do' function on the complaints management system.</w:t>
      </w:r>
    </w:p>
    <w:p w14:paraId="42C08B81" w14:textId="77777777" w:rsidR="00D152D5" w:rsidRPr="00AE16BC" w:rsidRDefault="00D152D5" w:rsidP="00D152D5">
      <w:pPr>
        <w:pStyle w:val="ListBullet"/>
        <w:numPr>
          <w:ilvl w:val="0"/>
          <w:numId w:val="0"/>
        </w:numPr>
        <w:ind w:left="360"/>
      </w:pPr>
    </w:p>
    <w:p w14:paraId="1F775625" w14:textId="7B067605" w:rsidR="00004F80" w:rsidRDefault="00C20471" w:rsidP="00E349B1">
      <w:pPr>
        <w:pStyle w:val="ListBullet"/>
      </w:pPr>
      <w:r>
        <w:t>A</w:t>
      </w:r>
      <w:r w:rsidR="000C313B" w:rsidRPr="000C313B">
        <w:t xml:space="preserve">ny extension must be no more than 10 working days without good reason, and the reason(s) </w:t>
      </w:r>
      <w:r w:rsidR="00004F80">
        <w:t>must</w:t>
      </w:r>
      <w:r w:rsidR="000C313B" w:rsidRPr="000C313B">
        <w:t xml:space="preserve"> be clearly explained to the resident.</w:t>
      </w:r>
      <w:r w:rsidR="00E349B1">
        <w:t xml:space="preserve"> </w:t>
      </w:r>
      <w:r w:rsidR="00A23E75">
        <w:t>Th</w:t>
      </w:r>
      <w:r w:rsidR="00004F80" w:rsidRPr="00004F80">
        <w:t>e</w:t>
      </w:r>
      <w:r w:rsidR="00A23E75">
        <w:t xml:space="preserve"> case handler</w:t>
      </w:r>
      <w:r w:rsidR="00004F80" w:rsidRPr="00004F80">
        <w:t xml:space="preserve"> </w:t>
      </w:r>
      <w:r w:rsidR="00004F80">
        <w:t xml:space="preserve">will </w:t>
      </w:r>
      <w:r w:rsidR="006B7FF8">
        <w:t xml:space="preserve">also </w:t>
      </w:r>
      <w:r w:rsidR="00004F80" w:rsidRPr="00004F80">
        <w:t xml:space="preserve">signpost the resident to the </w:t>
      </w:r>
      <w:r w:rsidR="00E349B1">
        <w:t>Housing Ombudsman</w:t>
      </w:r>
      <w:r w:rsidR="00CC6FE5" w:rsidRPr="00004F80">
        <w:t xml:space="preserve"> </w:t>
      </w:r>
      <w:r w:rsidR="005B4FD9">
        <w:t>if they wish to seek an</w:t>
      </w:r>
      <w:r w:rsidR="00004F80" w:rsidRPr="00004F80">
        <w:t xml:space="preserve"> independent review.</w:t>
      </w:r>
    </w:p>
    <w:p w14:paraId="3B458181" w14:textId="77777777" w:rsidR="00C22ABE" w:rsidRDefault="00C22ABE" w:rsidP="00AE748F">
      <w:pPr>
        <w:pStyle w:val="ListBullet"/>
        <w:numPr>
          <w:ilvl w:val="0"/>
          <w:numId w:val="0"/>
        </w:numPr>
      </w:pPr>
    </w:p>
    <w:p w14:paraId="11874664" w14:textId="05E1DDE0" w:rsidR="00617AFA" w:rsidRDefault="00DF7409" w:rsidP="00617AFA">
      <w:pPr>
        <w:pStyle w:val="ListBullet"/>
      </w:pPr>
      <w:r>
        <w:lastRenderedPageBreak/>
        <w:t>The case handler</w:t>
      </w:r>
      <w:r w:rsidR="00D87E39">
        <w:t xml:space="preserve"> should be </w:t>
      </w:r>
      <w:r w:rsidR="00617AFA" w:rsidRPr="00AE16BC">
        <w:t>complainant</w:t>
      </w:r>
      <w:r w:rsidR="00617AFA">
        <w:t>'</w:t>
      </w:r>
      <w:r w:rsidR="00617AFA" w:rsidRPr="00AE16BC">
        <w:t>s key point of contact until the complaint is resolved</w:t>
      </w:r>
      <w:r w:rsidR="00617AFA">
        <w:t xml:space="preserve"> or</w:t>
      </w:r>
      <w:r w:rsidR="00617AFA" w:rsidRPr="00AE16BC">
        <w:t xml:space="preserve"> agreed otherwise</w:t>
      </w:r>
      <w:r w:rsidR="00617AFA">
        <w:t xml:space="preserve"> by a</w:t>
      </w:r>
      <w:r w:rsidR="00617AFA" w:rsidRPr="00AE16BC">
        <w:t xml:space="preserve"> Team Leader or Manager.</w:t>
      </w:r>
    </w:p>
    <w:p w14:paraId="784EBC73" w14:textId="77777777" w:rsidR="00D33658" w:rsidRDefault="00D33658" w:rsidP="000A2948">
      <w:pPr>
        <w:pStyle w:val="Footer"/>
      </w:pPr>
    </w:p>
    <w:p w14:paraId="2FB4483F" w14:textId="77777777" w:rsidR="00D33658" w:rsidRPr="00AE16BC" w:rsidRDefault="00D33658" w:rsidP="000A2948">
      <w:pPr>
        <w:pStyle w:val="Footer"/>
      </w:pPr>
    </w:p>
    <w:p w14:paraId="26454D14" w14:textId="522BC0F5" w:rsidR="00BD6756" w:rsidRPr="00AE16BC" w:rsidRDefault="00BD6756" w:rsidP="00CE059B">
      <w:pPr>
        <w:pStyle w:val="Heading2"/>
      </w:pPr>
      <w:bookmarkStart w:id="12" w:name="_Toc168989932"/>
      <w:r w:rsidRPr="00AE16BC">
        <w:t xml:space="preserve">Stage 2 </w:t>
      </w:r>
      <w:r w:rsidR="000C597A">
        <w:t xml:space="preserve">- </w:t>
      </w:r>
      <w:r w:rsidRPr="00AE16BC">
        <w:t>Review</w:t>
      </w:r>
      <w:bookmarkEnd w:id="12"/>
    </w:p>
    <w:p w14:paraId="453980EF" w14:textId="3AE15AF9" w:rsidR="00716184" w:rsidRDefault="00BD6756" w:rsidP="00430FD1">
      <w:pPr>
        <w:pStyle w:val="ListBullet"/>
      </w:pPr>
      <w:r w:rsidRPr="00AE16BC">
        <w:t xml:space="preserve">If the service </w:t>
      </w:r>
      <w:r w:rsidR="00A809F9" w:rsidRPr="00AE16BC">
        <w:t>user is</w:t>
      </w:r>
      <w:r w:rsidRPr="00AE16BC">
        <w:t xml:space="preserve"> not satisfied with our response at </w:t>
      </w:r>
      <w:r w:rsidR="003B299C">
        <w:t>S</w:t>
      </w:r>
      <w:r w:rsidRPr="00AE16BC">
        <w:t xml:space="preserve">tage 1, they </w:t>
      </w:r>
      <w:r w:rsidR="006040B8" w:rsidRPr="00AE16BC">
        <w:t>can contact</w:t>
      </w:r>
      <w:r w:rsidR="00925BDC">
        <w:t xml:space="preserve"> us</w:t>
      </w:r>
      <w:r w:rsidRPr="00AE16BC">
        <w:t xml:space="preserve"> via the</w:t>
      </w:r>
      <w:r w:rsidR="00CD13FC">
        <w:t xml:space="preserve"> </w:t>
      </w:r>
      <w:r w:rsidR="00100357">
        <w:t>information</w:t>
      </w:r>
      <w:r w:rsidR="00CD13FC">
        <w:t xml:space="preserve"> provided w</w:t>
      </w:r>
      <w:r w:rsidR="00100357">
        <w:t>ithin the Stage 1 response</w:t>
      </w:r>
      <w:r w:rsidRPr="00AE16BC">
        <w:t xml:space="preserve"> </w:t>
      </w:r>
      <w:r w:rsidR="00100357">
        <w:t>to request an escalation</w:t>
      </w:r>
      <w:r w:rsidR="00263185">
        <w:t xml:space="preserve">. </w:t>
      </w:r>
      <w:r w:rsidR="00716184" w:rsidRPr="00AE16BC">
        <w:t>The complainant</w:t>
      </w:r>
      <w:r w:rsidR="00716184">
        <w:t xml:space="preserve"> is not required to provide an explanation for requesting a Stage 2 review. </w:t>
      </w:r>
      <w:r w:rsidR="00205CC3">
        <w:t>The request for an escalation must be made within 12 months of the Stage 1 response.</w:t>
      </w:r>
    </w:p>
    <w:p w14:paraId="02599192" w14:textId="77777777" w:rsidR="00716184" w:rsidRDefault="00716184" w:rsidP="00716184">
      <w:pPr>
        <w:pStyle w:val="ListBullet"/>
        <w:numPr>
          <w:ilvl w:val="0"/>
          <w:numId w:val="0"/>
        </w:numPr>
        <w:ind w:left="360"/>
      </w:pPr>
    </w:p>
    <w:p w14:paraId="32FC0DD4" w14:textId="20B119DA" w:rsidR="00484764" w:rsidRDefault="00F360BB" w:rsidP="00430FD1">
      <w:pPr>
        <w:pStyle w:val="ListBullet"/>
      </w:pPr>
      <w:r>
        <w:t xml:space="preserve">Requests for </w:t>
      </w:r>
      <w:r w:rsidR="003B299C">
        <w:t>S</w:t>
      </w:r>
      <w:r>
        <w:t>tage 2 must be acknowledged, defined, a</w:t>
      </w:r>
      <w:r w:rsidR="000F54D5">
        <w:t xml:space="preserve">nd logged </w:t>
      </w:r>
      <w:r w:rsidR="004F709C">
        <w:t xml:space="preserve">within 5 working days </w:t>
      </w:r>
      <w:r w:rsidR="000F5C10">
        <w:t>of the escalation request being received</w:t>
      </w:r>
      <w:r w:rsidR="00484764">
        <w:t>.</w:t>
      </w:r>
      <w:r w:rsidR="001A22E2" w:rsidRPr="001A22E2">
        <w:t xml:space="preserve"> </w:t>
      </w:r>
      <w:r w:rsidR="005C5CA8">
        <w:t>The Council</w:t>
      </w:r>
      <w:r w:rsidR="001A22E2" w:rsidRPr="001A22E2">
        <w:t xml:space="preserve"> will always </w:t>
      </w:r>
      <w:r w:rsidR="001A22E2">
        <w:t>outline to the resident</w:t>
      </w:r>
      <w:r w:rsidR="001A22E2" w:rsidRPr="001A22E2">
        <w:t xml:space="preserve"> the reasons for not escalating a complaint or dealing with it under a different process.</w:t>
      </w:r>
    </w:p>
    <w:p w14:paraId="76E9908E" w14:textId="77777777" w:rsidR="005C5CA8" w:rsidRDefault="005C5CA8" w:rsidP="005C5CA8">
      <w:pPr>
        <w:pStyle w:val="ListBullet"/>
        <w:numPr>
          <w:ilvl w:val="0"/>
          <w:numId w:val="0"/>
        </w:numPr>
        <w:ind w:left="360"/>
      </w:pPr>
    </w:p>
    <w:p w14:paraId="5E4976BA" w14:textId="77777777" w:rsidR="00835677" w:rsidRDefault="00BD6756" w:rsidP="00C419AE">
      <w:pPr>
        <w:pStyle w:val="ListBullet"/>
      </w:pPr>
      <w:r w:rsidRPr="00AE16BC">
        <w:t xml:space="preserve">The case will be allocated to one of </w:t>
      </w:r>
      <w:r w:rsidR="001A649C">
        <w:t xml:space="preserve">our </w:t>
      </w:r>
      <w:r w:rsidR="003B299C">
        <w:t>S</w:t>
      </w:r>
      <w:r w:rsidR="001A649C">
        <w:t xml:space="preserve">tage 2 </w:t>
      </w:r>
      <w:r w:rsidR="005A5B39">
        <w:t>C</w:t>
      </w:r>
      <w:r w:rsidR="004F71FB">
        <w:t xml:space="preserve">omplaints </w:t>
      </w:r>
      <w:r w:rsidR="005A5B39">
        <w:t>R</w:t>
      </w:r>
      <w:r w:rsidR="009232F9">
        <w:t xml:space="preserve">eview </w:t>
      </w:r>
      <w:r w:rsidR="005A5B39">
        <w:t>O</w:t>
      </w:r>
      <w:r w:rsidR="009232F9">
        <w:t>fficer</w:t>
      </w:r>
      <w:r w:rsidR="004F71FB">
        <w:t>s</w:t>
      </w:r>
      <w:r w:rsidRPr="00AE16BC">
        <w:t xml:space="preserve"> to investigate </w:t>
      </w:r>
      <w:r w:rsidR="004F71FB">
        <w:t>the</w:t>
      </w:r>
      <w:r w:rsidRPr="00AE16BC">
        <w:t xml:space="preserve"> complaint</w:t>
      </w:r>
      <w:r w:rsidR="005A5B39">
        <w:t>.</w:t>
      </w:r>
      <w:r w:rsidR="00D12E99">
        <w:t xml:space="preserve"> </w:t>
      </w:r>
      <w:r w:rsidR="005A5B39">
        <w:t>T</w:t>
      </w:r>
      <w:r w:rsidR="00E456CC">
        <w:t xml:space="preserve">his review will always be conducted </w:t>
      </w:r>
      <w:r w:rsidR="005618D0">
        <w:t xml:space="preserve">outside of the service area and </w:t>
      </w:r>
      <w:r w:rsidR="00E456CC">
        <w:t>by a different staff member to the previous stage</w:t>
      </w:r>
      <w:r w:rsidR="007325B8">
        <w:t xml:space="preserve">. </w:t>
      </w:r>
    </w:p>
    <w:p w14:paraId="525766BF" w14:textId="77777777" w:rsidR="00835677" w:rsidRDefault="00835677" w:rsidP="00835677">
      <w:pPr>
        <w:pStyle w:val="ListBullet"/>
        <w:numPr>
          <w:ilvl w:val="0"/>
          <w:numId w:val="0"/>
        </w:numPr>
        <w:ind w:left="360"/>
      </w:pPr>
    </w:p>
    <w:p w14:paraId="11074463" w14:textId="77777777" w:rsidR="00D7702D" w:rsidRDefault="00BD6756" w:rsidP="0008268E">
      <w:pPr>
        <w:pStyle w:val="ListBullet"/>
      </w:pPr>
      <w:r w:rsidRPr="00AE16BC">
        <w:t>The</w:t>
      </w:r>
      <w:r w:rsidR="005618D0">
        <w:t xml:space="preserve"> C</w:t>
      </w:r>
      <w:r w:rsidR="00887F40">
        <w:t xml:space="preserve">omplaints </w:t>
      </w:r>
      <w:r w:rsidR="005618D0">
        <w:t>R</w:t>
      </w:r>
      <w:r w:rsidR="00887F40">
        <w:t>eview</w:t>
      </w:r>
      <w:r w:rsidRPr="00AE16BC">
        <w:t xml:space="preserve"> </w:t>
      </w:r>
      <w:r w:rsidR="005618D0">
        <w:t>O</w:t>
      </w:r>
      <w:r w:rsidRPr="00AE16BC">
        <w:t xml:space="preserve">fficer will contact the </w:t>
      </w:r>
      <w:r w:rsidR="00716184">
        <w:t>complainant to understand</w:t>
      </w:r>
      <w:r w:rsidR="00C419AE">
        <w:t xml:space="preserve"> the reasons for their escalation and work with </w:t>
      </w:r>
      <w:r w:rsidRPr="00AE16BC">
        <w:t>relevant service areas where the complaint originated from to see if a resolution can be reached, and to identify any learning.</w:t>
      </w:r>
      <w:r w:rsidR="00835677">
        <w:t xml:space="preserve"> </w:t>
      </w:r>
    </w:p>
    <w:p w14:paraId="02A4C67E" w14:textId="77777777" w:rsidR="00D7702D" w:rsidRDefault="00D7702D" w:rsidP="00D7702D">
      <w:pPr>
        <w:pStyle w:val="ListBullet"/>
        <w:numPr>
          <w:ilvl w:val="0"/>
          <w:numId w:val="0"/>
        </w:numPr>
        <w:ind w:left="360"/>
      </w:pPr>
    </w:p>
    <w:p w14:paraId="6DC7C6FA" w14:textId="33C1131E" w:rsidR="00BD6756" w:rsidRDefault="00835677" w:rsidP="0008268E">
      <w:pPr>
        <w:pStyle w:val="ListBullet"/>
      </w:pPr>
      <w:r>
        <w:t xml:space="preserve">A response </w:t>
      </w:r>
      <w:r w:rsidR="005A2774">
        <w:t xml:space="preserve">will be provided within 20 working days and will </w:t>
      </w:r>
      <w:r w:rsidR="00C91EF9">
        <w:t xml:space="preserve">reflect the actions we will take to address </w:t>
      </w:r>
      <w:r w:rsidR="0008268E">
        <w:t xml:space="preserve">the </w:t>
      </w:r>
      <w:r w:rsidR="00C91EF9">
        <w:t xml:space="preserve">concerns. </w:t>
      </w:r>
      <w:r w:rsidR="006A702F">
        <w:t>As the final stage of our complaints process, the</w:t>
      </w:r>
      <w:r w:rsidR="00C91EF9">
        <w:t xml:space="preserve"> response </w:t>
      </w:r>
      <w:r w:rsidR="0008268E">
        <w:t xml:space="preserve">will </w:t>
      </w:r>
      <w:r w:rsidR="006A702F">
        <w:t>need to be</w:t>
      </w:r>
      <w:r w:rsidR="00380342">
        <w:t xml:space="preserve"> approved by a relevant Director or Assistant Director</w:t>
      </w:r>
      <w:r w:rsidR="005A2774">
        <w:t xml:space="preserve"> </w:t>
      </w:r>
      <w:r w:rsidR="00380342">
        <w:t>within the Housing Management division.</w:t>
      </w:r>
    </w:p>
    <w:p w14:paraId="138AFFCE" w14:textId="77777777" w:rsidR="009B309A" w:rsidRDefault="009B309A" w:rsidP="009B309A">
      <w:pPr>
        <w:pStyle w:val="ListBullet"/>
        <w:numPr>
          <w:ilvl w:val="0"/>
          <w:numId w:val="0"/>
        </w:numPr>
        <w:ind w:left="360"/>
      </w:pPr>
    </w:p>
    <w:p w14:paraId="6A323DB6" w14:textId="77777777" w:rsidR="009B309A" w:rsidRDefault="009B309A" w:rsidP="009B309A">
      <w:pPr>
        <w:pStyle w:val="ListBullet"/>
      </w:pPr>
      <w:r w:rsidRPr="00AE16BC">
        <w:t xml:space="preserve">The </w:t>
      </w:r>
      <w:r>
        <w:t>response should be in plain English and should outline;</w:t>
      </w:r>
    </w:p>
    <w:p w14:paraId="1EB22A37" w14:textId="77777777" w:rsidR="00374040" w:rsidRPr="00374040" w:rsidRDefault="00374040" w:rsidP="00374040">
      <w:pPr>
        <w:pStyle w:val="abcList"/>
        <w:numPr>
          <w:ilvl w:val="0"/>
          <w:numId w:val="16"/>
        </w:numPr>
      </w:pPr>
      <w:r w:rsidRPr="00374040">
        <w:t>the complaint stage;  </w:t>
      </w:r>
    </w:p>
    <w:p w14:paraId="340A5374" w14:textId="77777777" w:rsidR="00374040" w:rsidRPr="00374040" w:rsidRDefault="00374040" w:rsidP="00374040">
      <w:pPr>
        <w:pStyle w:val="abcList"/>
      </w:pPr>
      <w:r w:rsidRPr="00374040">
        <w:t>the complaint definition; </w:t>
      </w:r>
    </w:p>
    <w:p w14:paraId="5691F40D" w14:textId="29784F3F" w:rsidR="00374040" w:rsidRPr="00374040" w:rsidRDefault="00374040" w:rsidP="009B309A">
      <w:pPr>
        <w:pStyle w:val="abcList"/>
      </w:pPr>
      <w:r w:rsidRPr="00374040">
        <w:t>the decision on the complaint</w:t>
      </w:r>
      <w:r w:rsidR="009B309A">
        <w:t xml:space="preserve"> and </w:t>
      </w:r>
      <w:r w:rsidRPr="00374040">
        <w:t>the reasons for any decisions made; </w:t>
      </w:r>
    </w:p>
    <w:p w14:paraId="384C6B78" w14:textId="77777777" w:rsidR="00374040" w:rsidRPr="00374040" w:rsidRDefault="00374040" w:rsidP="00374040">
      <w:pPr>
        <w:pStyle w:val="abcList"/>
      </w:pPr>
      <w:r w:rsidRPr="00374040">
        <w:t>the details of any remedy offered to put things right; </w:t>
      </w:r>
    </w:p>
    <w:p w14:paraId="66C39EC7" w14:textId="77777777" w:rsidR="00374040" w:rsidRPr="00374040" w:rsidRDefault="00374040" w:rsidP="00374040">
      <w:pPr>
        <w:pStyle w:val="abcList"/>
      </w:pPr>
      <w:r w:rsidRPr="00374040">
        <w:t>details of any outstanding actions; and </w:t>
      </w:r>
    </w:p>
    <w:p w14:paraId="45944C8F" w14:textId="61181A2A" w:rsidR="00DF0140" w:rsidRDefault="00374040" w:rsidP="009B309A">
      <w:pPr>
        <w:pStyle w:val="abcList"/>
      </w:pPr>
      <w:r w:rsidRPr="00374040">
        <w:t>details of how to escalate the matter to the Ombudsman Service if the individual remains dissatisfied. </w:t>
      </w:r>
    </w:p>
    <w:p w14:paraId="7003820C" w14:textId="77777777" w:rsidR="001E5AC8" w:rsidRDefault="001E5AC8" w:rsidP="001E5AC8">
      <w:pPr>
        <w:pStyle w:val="ListBullet"/>
      </w:pPr>
      <w:r>
        <w:t>The</w:t>
      </w:r>
      <w:r w:rsidRPr="001E5AC8">
        <w:t xml:space="preserve"> response must address all points raised in the complaint definition and provide clear reasons for any decisions, referencing the relevant policy, law and good practice where appropriate.</w:t>
      </w:r>
    </w:p>
    <w:p w14:paraId="157EF2FD" w14:textId="77777777" w:rsidR="001E5AC8" w:rsidRPr="001E5AC8" w:rsidRDefault="001E5AC8" w:rsidP="001E5AC8">
      <w:pPr>
        <w:pStyle w:val="ListBullet"/>
        <w:numPr>
          <w:ilvl w:val="0"/>
          <w:numId w:val="0"/>
        </w:numPr>
        <w:ind w:left="360"/>
      </w:pPr>
    </w:p>
    <w:p w14:paraId="06F5F9CB" w14:textId="2DBBA76E" w:rsidR="00F940A4" w:rsidRDefault="00F940A4" w:rsidP="00F940A4">
      <w:pPr>
        <w:pStyle w:val="ListBullet"/>
      </w:pPr>
      <w:r>
        <w:lastRenderedPageBreak/>
        <w:t xml:space="preserve">Responses should not be delayed ensuring all outstanding actions are completed. </w:t>
      </w:r>
      <w:r w:rsidR="009D1F82">
        <w:t>Any outstanding actions</w:t>
      </w:r>
      <w:r>
        <w:t xml:space="preserve"> should be tracked as 'Corrective Actions' through the complaints management system. </w:t>
      </w:r>
    </w:p>
    <w:p w14:paraId="3A209FEB" w14:textId="77777777" w:rsidR="00F940A4" w:rsidRDefault="00F940A4" w:rsidP="00F940A4">
      <w:pPr>
        <w:pStyle w:val="ListBullet"/>
        <w:numPr>
          <w:ilvl w:val="0"/>
          <w:numId w:val="0"/>
        </w:numPr>
        <w:ind w:left="360"/>
      </w:pPr>
    </w:p>
    <w:p w14:paraId="04FDB9F6" w14:textId="573E2A9F" w:rsidR="00F80654" w:rsidRDefault="008F3A22" w:rsidP="00F940A4">
      <w:pPr>
        <w:pStyle w:val="ListBullet"/>
      </w:pPr>
      <w:r>
        <w:t>If</w:t>
      </w:r>
      <w:r w:rsidR="009051CB" w:rsidRPr="009051CB">
        <w:t xml:space="preserve"> an extension to this timescale is needed when considering the complexity of the complaint</w:t>
      </w:r>
      <w:r w:rsidR="00FC1CE6">
        <w:t>, the service user will be informed of</w:t>
      </w:r>
      <w:r w:rsidR="009051CB" w:rsidRPr="009051CB">
        <w:t xml:space="preserve"> the expected timescale for response. Any extension </w:t>
      </w:r>
      <w:r w:rsidR="0090358E">
        <w:t>must</w:t>
      </w:r>
      <w:r w:rsidR="009051CB" w:rsidRPr="009051CB">
        <w:t xml:space="preserve"> be no more than 20 working days without good reason, and the reason(s) </w:t>
      </w:r>
      <w:r w:rsidR="00614B48">
        <w:t>for the exten</w:t>
      </w:r>
      <w:r w:rsidR="00407F09">
        <w:t>sion should</w:t>
      </w:r>
      <w:r w:rsidR="009051CB" w:rsidRPr="009051CB">
        <w:t xml:space="preserve"> be clearly explained to the resident.</w:t>
      </w:r>
      <w:r w:rsidR="00F23E8E">
        <w:t xml:space="preserve"> </w:t>
      </w:r>
      <w:r w:rsidR="005B4FD9">
        <w:t>We</w:t>
      </w:r>
      <w:r w:rsidR="00F23E8E" w:rsidRPr="00F23E8E">
        <w:t xml:space="preserve"> will</w:t>
      </w:r>
      <w:r w:rsidR="005B4FD9">
        <w:t xml:space="preserve"> also</w:t>
      </w:r>
      <w:r w:rsidR="00F23E8E" w:rsidRPr="00F23E8E">
        <w:t xml:space="preserve"> </w:t>
      </w:r>
      <w:r w:rsidR="005B4FD9">
        <w:t>provide</w:t>
      </w:r>
      <w:r w:rsidR="00F23E8E" w:rsidRPr="00F23E8E">
        <w:t xml:space="preserve"> the resident </w:t>
      </w:r>
      <w:r w:rsidR="005B4FD9">
        <w:t>with contact details for</w:t>
      </w:r>
      <w:r w:rsidR="00F23E8E" w:rsidRPr="00F23E8E">
        <w:t xml:space="preserve"> </w:t>
      </w:r>
      <w:r w:rsidR="005B4FD9">
        <w:t xml:space="preserve">the </w:t>
      </w:r>
      <w:r w:rsidR="00F23E8E" w:rsidRPr="00F23E8E">
        <w:t>H</w:t>
      </w:r>
      <w:r w:rsidR="00A552A0">
        <w:t xml:space="preserve">ousing </w:t>
      </w:r>
      <w:r w:rsidR="00F23E8E" w:rsidRPr="00F23E8E">
        <w:t>O</w:t>
      </w:r>
      <w:r w:rsidR="00A552A0">
        <w:t>mbudsman</w:t>
      </w:r>
      <w:r w:rsidR="00F23E8E" w:rsidRPr="00F23E8E">
        <w:t xml:space="preserve"> </w:t>
      </w:r>
      <w:r w:rsidR="005B4FD9">
        <w:t>should they wish to pursue an</w:t>
      </w:r>
      <w:r w:rsidR="00F23E8E" w:rsidRPr="00F23E8E">
        <w:t xml:space="preserve"> independent review.</w:t>
      </w:r>
    </w:p>
    <w:p w14:paraId="5C366AC3" w14:textId="77777777" w:rsidR="00DF0140" w:rsidRDefault="00DF0140" w:rsidP="00DF0140">
      <w:pPr>
        <w:pStyle w:val="ListBullet"/>
        <w:numPr>
          <w:ilvl w:val="0"/>
          <w:numId w:val="0"/>
        </w:numPr>
        <w:ind w:left="360" w:hanging="360"/>
      </w:pPr>
    </w:p>
    <w:p w14:paraId="65E4F188" w14:textId="7BE36C85" w:rsidR="00DF0140" w:rsidRDefault="005304BA" w:rsidP="00DF0140">
      <w:pPr>
        <w:pStyle w:val="ListBullet"/>
      </w:pPr>
      <w:r>
        <w:t>If an extension is agreed, d</w:t>
      </w:r>
      <w:r w:rsidR="00DF0140">
        <w:t>uring the conversation with the complainant</w:t>
      </w:r>
      <w:r w:rsidR="007415C6">
        <w:t>,</w:t>
      </w:r>
      <w:r w:rsidR="00DF0140">
        <w:t xml:space="preserve"> suitable intervals for providing updates should also be agreed. This should be tracked using the 'To Do' function on the complaints management system.</w:t>
      </w:r>
    </w:p>
    <w:p w14:paraId="2C0F15C2" w14:textId="77777777" w:rsidR="00F80654" w:rsidRDefault="00F80654" w:rsidP="005413F7">
      <w:pPr>
        <w:pStyle w:val="ListBullet"/>
        <w:numPr>
          <w:ilvl w:val="0"/>
          <w:numId w:val="0"/>
        </w:numPr>
      </w:pPr>
    </w:p>
    <w:p w14:paraId="4DF352A8" w14:textId="5C1E3AD8" w:rsidR="000A2948" w:rsidRDefault="00BD6756" w:rsidP="00D152D5">
      <w:pPr>
        <w:pStyle w:val="ListBullet"/>
      </w:pPr>
      <w:r w:rsidRPr="00AE16BC">
        <w:t>The Customer Relations Team will monitor, audit</w:t>
      </w:r>
      <w:r w:rsidR="00F36C90">
        <w:t>,</w:t>
      </w:r>
      <w:r w:rsidRPr="00AE16BC">
        <w:t xml:space="preserve"> and track high profile cases to ensure any follow-up actions agreed as part of the response are recorded, actioned</w:t>
      </w:r>
      <w:r w:rsidR="00F36C90">
        <w:t>,</w:t>
      </w:r>
      <w:r w:rsidRPr="00AE16BC">
        <w:t xml:space="preserve"> and completed in </w:t>
      </w:r>
      <w:r w:rsidR="00F80654">
        <w:t>Council's</w:t>
      </w:r>
      <w:r w:rsidRPr="00AE16BC">
        <w:t xml:space="preserve"> complaint management system. Performance in following up on complaints </w:t>
      </w:r>
      <w:r w:rsidR="00F36C90">
        <w:t>is</w:t>
      </w:r>
      <w:r w:rsidRPr="00AE16BC">
        <w:t xml:space="preserve"> reviewed on a quarterly basis by </w:t>
      </w:r>
      <w:r w:rsidR="00F80654">
        <w:t>Council's</w:t>
      </w:r>
      <w:r w:rsidRPr="00AE16BC">
        <w:t xml:space="preserve"> Management Team.</w:t>
      </w:r>
    </w:p>
    <w:p w14:paraId="1BF7CC51" w14:textId="77777777" w:rsidR="00B90E78" w:rsidRPr="00B90E78" w:rsidRDefault="00B90E78" w:rsidP="00B90E78">
      <w:pPr>
        <w:pStyle w:val="Footer"/>
      </w:pPr>
    </w:p>
    <w:p w14:paraId="1CC55BC3" w14:textId="0109404F" w:rsidR="00871236" w:rsidRDefault="00871236" w:rsidP="00871236">
      <w:pPr>
        <w:pStyle w:val="Heading1"/>
      </w:pPr>
      <w:bookmarkStart w:id="13" w:name="_Toc168989933"/>
      <w:r>
        <w:t>Outcomes</w:t>
      </w:r>
      <w:r w:rsidR="00704490">
        <w:t xml:space="preserve"> and remedies</w:t>
      </w:r>
      <w:bookmarkEnd w:id="13"/>
    </w:p>
    <w:p w14:paraId="2412E5F4" w14:textId="77777777" w:rsidR="00871236" w:rsidRDefault="00871236" w:rsidP="00871236">
      <w:pPr>
        <w:rPr>
          <w:lang w:eastAsia="en-GB"/>
        </w:rPr>
      </w:pPr>
      <w:r w:rsidRPr="00871236">
        <w:rPr>
          <w:lang w:eastAsia="en-GB"/>
        </w:rPr>
        <w:t>Complaints can be resolved in a number of ways. The outcome of a formal complaint will be:</w:t>
      </w:r>
    </w:p>
    <w:tbl>
      <w:tblPr>
        <w:tblStyle w:val="TableGrid"/>
        <w:tblW w:w="0" w:type="auto"/>
        <w:tblLook w:val="04A0" w:firstRow="1" w:lastRow="0" w:firstColumn="1" w:lastColumn="0" w:noHBand="0" w:noVBand="1"/>
      </w:tblPr>
      <w:tblGrid>
        <w:gridCol w:w="2263"/>
        <w:gridCol w:w="7087"/>
      </w:tblGrid>
      <w:tr w:rsidR="00C21864" w14:paraId="2D53B560" w14:textId="77777777" w:rsidTr="00C21864">
        <w:tc>
          <w:tcPr>
            <w:tcW w:w="2263" w:type="dxa"/>
          </w:tcPr>
          <w:p w14:paraId="49D3B1F6" w14:textId="51F8F73B" w:rsidR="00C21864" w:rsidRDefault="00C21864" w:rsidP="00871236">
            <w:r w:rsidRPr="00C21864">
              <w:rPr>
                <w:rStyle w:val="Emphasisebold"/>
              </w:rPr>
              <w:t>Upheld</w:t>
            </w:r>
          </w:p>
        </w:tc>
        <w:tc>
          <w:tcPr>
            <w:tcW w:w="7087" w:type="dxa"/>
          </w:tcPr>
          <w:p w14:paraId="595F051B" w14:textId="3D14BEA6" w:rsidR="00C21864" w:rsidRDefault="00C21864" w:rsidP="00871236">
            <w:r w:rsidRPr="00E86FD0">
              <w:t xml:space="preserve">this means that the customer’s reasons for dissatisfaction </w:t>
            </w:r>
            <w:r w:rsidRPr="00C21864">
              <w:t>are justified</w:t>
            </w:r>
          </w:p>
        </w:tc>
      </w:tr>
      <w:tr w:rsidR="00C21864" w14:paraId="3A422965" w14:textId="77777777" w:rsidTr="00C21864">
        <w:tc>
          <w:tcPr>
            <w:tcW w:w="2263" w:type="dxa"/>
          </w:tcPr>
          <w:p w14:paraId="7F61F22C" w14:textId="7F808AF8" w:rsidR="00C21864" w:rsidRDefault="00C21864" w:rsidP="00871236">
            <w:r w:rsidRPr="00C21864">
              <w:rPr>
                <w:rStyle w:val="Emphasisebold"/>
              </w:rPr>
              <w:t>Partially upheld</w:t>
            </w:r>
          </w:p>
        </w:tc>
        <w:tc>
          <w:tcPr>
            <w:tcW w:w="7087" w:type="dxa"/>
          </w:tcPr>
          <w:p w14:paraId="6B947B11" w14:textId="5E893E5E" w:rsidR="00C21864" w:rsidRDefault="00C21864" w:rsidP="00871236">
            <w:r w:rsidRPr="00871236">
              <w:t xml:space="preserve">this means that some of the customer’s reasons for dissatisfaction are justified but that some of the issues or claims raised by the customer are unfounded, unreasonable or not the fault of </w:t>
            </w:r>
            <w:r w:rsidRPr="00C21864">
              <w:t>the Council</w:t>
            </w:r>
          </w:p>
        </w:tc>
      </w:tr>
      <w:tr w:rsidR="00C21864" w14:paraId="0B8A65BA" w14:textId="77777777" w:rsidTr="00C21864">
        <w:tc>
          <w:tcPr>
            <w:tcW w:w="2263" w:type="dxa"/>
          </w:tcPr>
          <w:p w14:paraId="173AE907" w14:textId="47DD048D" w:rsidR="00C21864" w:rsidRDefault="00C21864" w:rsidP="00871236">
            <w:r w:rsidRPr="00871236">
              <w:rPr>
                <w:rStyle w:val="Emphasisebold"/>
              </w:rPr>
              <w:t>Not upheld</w:t>
            </w:r>
          </w:p>
        </w:tc>
        <w:tc>
          <w:tcPr>
            <w:tcW w:w="7087" w:type="dxa"/>
          </w:tcPr>
          <w:p w14:paraId="4A0A6325" w14:textId="6C1A00C0" w:rsidR="00C21864" w:rsidRDefault="00C21864" w:rsidP="00871236">
            <w:r w:rsidRPr="00871236">
              <w:t>this means that none of the customer’s reasons for dissatisfaction are justified</w:t>
            </w:r>
          </w:p>
        </w:tc>
      </w:tr>
    </w:tbl>
    <w:p w14:paraId="5E391018" w14:textId="0FFE14E4" w:rsidR="00871236" w:rsidRPr="00871236" w:rsidRDefault="00871236" w:rsidP="00871236">
      <w:pPr>
        <w:rPr>
          <w:lang w:eastAsia="en-GB"/>
        </w:rPr>
      </w:pPr>
      <w:r w:rsidRPr="00871236">
        <w:rPr>
          <w:lang w:eastAsia="en-GB"/>
        </w:rPr>
        <w:t xml:space="preserve"> </w:t>
      </w:r>
    </w:p>
    <w:p w14:paraId="5BCD1B69" w14:textId="43D43509" w:rsidR="008C1858" w:rsidRDefault="00704490" w:rsidP="00704490">
      <w:r>
        <w:t>Across both</w:t>
      </w:r>
      <w:r w:rsidR="00D01515">
        <w:t xml:space="preserve"> </w:t>
      </w:r>
      <w:r w:rsidR="00F80654">
        <w:t>S</w:t>
      </w:r>
      <w:r w:rsidR="00D01515">
        <w:t>tage 1 and 2, action plans will</w:t>
      </w:r>
      <w:r w:rsidR="007D3485">
        <w:t xml:space="preserve"> be agreed </w:t>
      </w:r>
      <w:r w:rsidR="00847BDB">
        <w:t xml:space="preserve">which set out what needs to happen to put things right and </w:t>
      </w:r>
      <w:r w:rsidR="007D3485">
        <w:t xml:space="preserve">monitor resolution. </w:t>
      </w:r>
      <w:r w:rsidR="00E41A44">
        <w:t>Actions may include</w:t>
      </w:r>
      <w:r w:rsidR="00133598">
        <w:t>;</w:t>
      </w:r>
    </w:p>
    <w:p w14:paraId="2397A6CA" w14:textId="77777777" w:rsidR="008C1858" w:rsidRPr="008C1858" w:rsidRDefault="008C1858" w:rsidP="00457453">
      <w:pPr>
        <w:pStyle w:val="ListBullet"/>
      </w:pPr>
      <w:r w:rsidRPr="008C1858">
        <w:t>Apologising; </w:t>
      </w:r>
    </w:p>
    <w:p w14:paraId="0BE66489" w14:textId="61D97ECB" w:rsidR="008C1858" w:rsidRPr="008C1858" w:rsidRDefault="008C1858" w:rsidP="00457453">
      <w:pPr>
        <w:pStyle w:val="ListBullet"/>
      </w:pPr>
      <w:r w:rsidRPr="008C1858">
        <w:t>Acknowledging where things have gone wrong; </w:t>
      </w:r>
    </w:p>
    <w:p w14:paraId="20AB8462" w14:textId="77777777" w:rsidR="008C1858" w:rsidRPr="008C1858" w:rsidRDefault="008C1858" w:rsidP="00457453">
      <w:pPr>
        <w:pStyle w:val="ListBullet"/>
      </w:pPr>
      <w:r w:rsidRPr="008C1858">
        <w:t>Providing an explanation, assistance or reasons; </w:t>
      </w:r>
    </w:p>
    <w:p w14:paraId="6F02684F" w14:textId="77777777" w:rsidR="008C1858" w:rsidRPr="008C1858" w:rsidRDefault="008C1858" w:rsidP="00457453">
      <w:pPr>
        <w:pStyle w:val="ListBullet"/>
      </w:pPr>
      <w:r w:rsidRPr="008C1858">
        <w:t>Taking action if there has been delay</w:t>
      </w:r>
    </w:p>
    <w:p w14:paraId="4A688E31" w14:textId="6FE21A91" w:rsidR="008C1858" w:rsidRPr="008C1858" w:rsidRDefault="008C1858" w:rsidP="00457453">
      <w:pPr>
        <w:pStyle w:val="ListBullet"/>
      </w:pPr>
      <w:r w:rsidRPr="008C1858">
        <w:t>Reconsidering or changing a decision; </w:t>
      </w:r>
    </w:p>
    <w:p w14:paraId="2823D26E" w14:textId="4ACA1DEE" w:rsidR="008C1858" w:rsidRPr="008C1858" w:rsidRDefault="008C1858" w:rsidP="00457453">
      <w:pPr>
        <w:pStyle w:val="ListBullet"/>
      </w:pPr>
      <w:r w:rsidRPr="008C1858">
        <w:t>Amending a record or adding a correction or</w:t>
      </w:r>
      <w:r w:rsidR="00457453">
        <w:t xml:space="preserve"> </w:t>
      </w:r>
      <w:r w:rsidRPr="008C1858">
        <w:t>addendum; </w:t>
      </w:r>
    </w:p>
    <w:p w14:paraId="014C9DA2" w14:textId="77777777" w:rsidR="008C1858" w:rsidRPr="008C1858" w:rsidRDefault="008C1858" w:rsidP="00457453">
      <w:pPr>
        <w:pStyle w:val="ListBullet"/>
      </w:pPr>
      <w:r w:rsidRPr="008C1858">
        <w:t>Providing a financial remedy; </w:t>
      </w:r>
    </w:p>
    <w:p w14:paraId="59B73D31" w14:textId="7347F0E4" w:rsidR="008C1858" w:rsidRDefault="008C1858" w:rsidP="00457453">
      <w:pPr>
        <w:pStyle w:val="ListBullet"/>
      </w:pPr>
      <w:r w:rsidRPr="008C1858">
        <w:lastRenderedPageBreak/>
        <w:t>Changing policies, procedures or practices. </w:t>
      </w:r>
    </w:p>
    <w:p w14:paraId="03247E65" w14:textId="46EB0DD3" w:rsidR="00704490" w:rsidRDefault="00DB1F29" w:rsidP="00704490">
      <w:r>
        <w:t>These will be tracked as corrective actions on our complaints management system.</w:t>
      </w:r>
    </w:p>
    <w:p w14:paraId="3A8C3AFC" w14:textId="30BF9FCD" w:rsidR="003204C6" w:rsidRDefault="003204C6" w:rsidP="00704490">
      <w:r w:rsidRPr="003204C6">
        <w:t>The remedy offer must clearly set out what will happen and by when, in agreement with the resident where appropriate.</w:t>
      </w:r>
    </w:p>
    <w:p w14:paraId="4727A8ED" w14:textId="4332D795" w:rsidR="00C8180F" w:rsidRDefault="00F92183" w:rsidP="005B15AB">
      <w:r>
        <w:t xml:space="preserve">Any remedy offered </w:t>
      </w:r>
      <w:r w:rsidR="00D0618F">
        <w:t>will reflect the impact on the resident as a result of the issue identified, as outlined in our</w:t>
      </w:r>
      <w:r w:rsidR="003F4D09">
        <w:t xml:space="preserve"> </w:t>
      </w:r>
      <w:r w:rsidR="00D0618F">
        <w:t>Redress Policy</w:t>
      </w:r>
      <w:r w:rsidR="002006A5">
        <w:t xml:space="preserve"> </w:t>
      </w:r>
      <w:r w:rsidR="00445F32">
        <w:t>which is based on guidance from the Housing Ombudsman service.</w:t>
      </w:r>
      <w:r w:rsidR="002006A5">
        <w:t xml:space="preserve"> </w:t>
      </w:r>
    </w:p>
    <w:p w14:paraId="190CDD25" w14:textId="77777777" w:rsidR="00B90E78" w:rsidRDefault="00B90E78" w:rsidP="00B90E78">
      <w:pPr>
        <w:pStyle w:val="Footer"/>
      </w:pPr>
    </w:p>
    <w:p w14:paraId="339EED7B" w14:textId="42959D98" w:rsidR="00AE6FAC" w:rsidRPr="00AE6FAC" w:rsidRDefault="00BD6756" w:rsidP="00AE6FAC">
      <w:pPr>
        <w:pStyle w:val="Heading1"/>
      </w:pPr>
      <w:bookmarkStart w:id="14" w:name="_Toc168989934"/>
      <w:r>
        <w:t xml:space="preserve">Beyond </w:t>
      </w:r>
      <w:r w:rsidR="00F80654">
        <w:t>the</w:t>
      </w:r>
      <w:r>
        <w:t xml:space="preserve"> Complaints Policy</w:t>
      </w:r>
      <w:bookmarkEnd w:id="14"/>
    </w:p>
    <w:p w14:paraId="7B1EB524" w14:textId="1E96F7DF" w:rsidR="00B2222B" w:rsidRDefault="00BD6756" w:rsidP="005B15AB">
      <w:r w:rsidRPr="00AE16BC">
        <w:t xml:space="preserve">If a service user disagrees with </w:t>
      </w:r>
      <w:r w:rsidR="00150BB0">
        <w:t>our response at Stage 2</w:t>
      </w:r>
      <w:r w:rsidRPr="00AE16BC">
        <w:t>, they can</w:t>
      </w:r>
      <w:r w:rsidR="00883919">
        <w:t xml:space="preserve"> make a request for their case to be considered by</w:t>
      </w:r>
      <w:r w:rsidRPr="00AE16BC">
        <w:t xml:space="preserve"> either the H</w:t>
      </w:r>
      <w:r w:rsidR="00150BB0">
        <w:t xml:space="preserve">ousing </w:t>
      </w:r>
      <w:r w:rsidRPr="00AE16BC">
        <w:t>O</w:t>
      </w:r>
      <w:r w:rsidR="00150BB0">
        <w:t>mbudsman</w:t>
      </w:r>
      <w:r w:rsidRPr="00AE16BC">
        <w:t xml:space="preserve"> or the Local Government and Social Care Ombudsman</w:t>
      </w:r>
      <w:r w:rsidR="0062116F">
        <w:t xml:space="preserve"> </w:t>
      </w:r>
      <w:r w:rsidR="000A408F">
        <w:t xml:space="preserve">(LGSCO) </w:t>
      </w:r>
      <w:r w:rsidR="0062116F">
        <w:t>depending on the nature of the complaint that has been made</w:t>
      </w:r>
      <w:r w:rsidR="000A408F">
        <w:t xml:space="preserve">. Both the </w:t>
      </w:r>
      <w:r w:rsidR="00150BB0">
        <w:t>Ombudsman regimes</w:t>
      </w:r>
      <w:r w:rsidR="000A408F">
        <w:t xml:space="preserve"> are fully independent of local councils and are answerable </w:t>
      </w:r>
      <w:r w:rsidR="0053369A">
        <w:t>to Parliament.</w:t>
      </w:r>
    </w:p>
    <w:p w14:paraId="2FE6FBD8" w14:textId="77777777" w:rsidR="005B15AB" w:rsidRDefault="005B15AB" w:rsidP="005B15AB">
      <w:pPr>
        <w:pStyle w:val="Footer"/>
      </w:pPr>
    </w:p>
    <w:tbl>
      <w:tblPr>
        <w:tblStyle w:val="TableGrid"/>
        <w:tblW w:w="0" w:type="auto"/>
        <w:tblLook w:val="04A0" w:firstRow="1" w:lastRow="0" w:firstColumn="1" w:lastColumn="0" w:noHBand="0" w:noVBand="1"/>
      </w:tblPr>
      <w:tblGrid>
        <w:gridCol w:w="3005"/>
        <w:gridCol w:w="3005"/>
        <w:gridCol w:w="3006"/>
      </w:tblGrid>
      <w:tr w:rsidR="00DB1F29" w14:paraId="61B9E598" w14:textId="77777777" w:rsidTr="00DB1F29">
        <w:trPr>
          <w:trHeight w:val="289"/>
        </w:trPr>
        <w:tc>
          <w:tcPr>
            <w:tcW w:w="3005" w:type="dxa"/>
          </w:tcPr>
          <w:p w14:paraId="574B0EFA" w14:textId="54857345" w:rsidR="00DB1F29" w:rsidRPr="00DB1F29" w:rsidRDefault="00DB1F29" w:rsidP="00331D12">
            <w:pPr>
              <w:rPr>
                <w:rStyle w:val="Emphasisebold"/>
              </w:rPr>
            </w:pPr>
            <w:r w:rsidRPr="00DB1F29">
              <w:rPr>
                <w:rStyle w:val="Emphasisebold"/>
              </w:rPr>
              <w:t>Ombudsman</w:t>
            </w:r>
          </w:p>
        </w:tc>
        <w:tc>
          <w:tcPr>
            <w:tcW w:w="3005" w:type="dxa"/>
          </w:tcPr>
          <w:p w14:paraId="758A6336" w14:textId="590A4665" w:rsidR="00DB1F29" w:rsidRPr="00DB1F29" w:rsidRDefault="00DB1F29" w:rsidP="00331D12">
            <w:pPr>
              <w:rPr>
                <w:rStyle w:val="Emphasisebold"/>
              </w:rPr>
            </w:pPr>
            <w:r w:rsidRPr="00DB1F29">
              <w:rPr>
                <w:rStyle w:val="Emphasisebold"/>
              </w:rPr>
              <w:t>Suitable for</w:t>
            </w:r>
          </w:p>
        </w:tc>
        <w:tc>
          <w:tcPr>
            <w:tcW w:w="3006" w:type="dxa"/>
          </w:tcPr>
          <w:p w14:paraId="590CF904" w14:textId="571BF66D" w:rsidR="00DB1F29" w:rsidRPr="00DB1F29" w:rsidRDefault="00DB1F29" w:rsidP="00331D12">
            <w:pPr>
              <w:rPr>
                <w:rStyle w:val="Emphasisebold"/>
              </w:rPr>
            </w:pPr>
            <w:r w:rsidRPr="00DB1F29">
              <w:rPr>
                <w:rStyle w:val="Emphasisebold"/>
              </w:rPr>
              <w:t>Example Subject Areas</w:t>
            </w:r>
          </w:p>
        </w:tc>
      </w:tr>
      <w:tr w:rsidR="00331D12" w14:paraId="130DFCCA" w14:textId="77777777" w:rsidTr="00D152D5">
        <w:trPr>
          <w:trHeight w:val="1282"/>
        </w:trPr>
        <w:tc>
          <w:tcPr>
            <w:tcW w:w="3005" w:type="dxa"/>
          </w:tcPr>
          <w:p w14:paraId="16B6E1FE" w14:textId="77777777" w:rsidR="00331D12" w:rsidRPr="00331D12" w:rsidRDefault="00331D12" w:rsidP="00331D12">
            <w:r w:rsidRPr="00314AED">
              <w:t xml:space="preserve">Housing Ombudsman </w:t>
            </w:r>
          </w:p>
          <w:p w14:paraId="010890B7" w14:textId="77777777" w:rsidR="00331D12" w:rsidRPr="00331D12" w:rsidRDefault="00331D12" w:rsidP="00331D12">
            <w:hyperlink r:id="rId15" w:history="1">
              <w:r w:rsidRPr="00331D12">
                <w:rPr>
                  <w:rStyle w:val="Hyperlink"/>
                </w:rPr>
                <w:t>info@housing-ombudsman.org.uk</w:t>
              </w:r>
            </w:hyperlink>
            <w:r w:rsidRPr="00331D12">
              <w:t xml:space="preserve">  </w:t>
            </w:r>
          </w:p>
          <w:p w14:paraId="26DB5F83" w14:textId="40A45BE0" w:rsidR="00331D12" w:rsidRPr="00331D12" w:rsidRDefault="00331D12" w:rsidP="00331D12">
            <w:r w:rsidRPr="00314AED">
              <w:t>PO Box 152</w:t>
            </w:r>
            <w:r w:rsidRPr="00314AED">
              <w:br/>
              <w:t>Liverpool L33 7WQ </w:t>
            </w:r>
          </w:p>
        </w:tc>
        <w:tc>
          <w:tcPr>
            <w:tcW w:w="3005" w:type="dxa"/>
          </w:tcPr>
          <w:p w14:paraId="48EBF942" w14:textId="44F13E7A" w:rsidR="00331D12" w:rsidRPr="00331D12" w:rsidRDefault="00331D12" w:rsidP="00331D12">
            <w:r w:rsidRPr="00314AED">
              <w:t xml:space="preserve">Tenants and Leaseholders of </w:t>
            </w:r>
            <w:r w:rsidRPr="00331D12">
              <w:t xml:space="preserve">Tower Hamlets Council </w:t>
            </w:r>
          </w:p>
        </w:tc>
        <w:tc>
          <w:tcPr>
            <w:tcW w:w="3006" w:type="dxa"/>
          </w:tcPr>
          <w:p w14:paraId="5CAC8601" w14:textId="77777777" w:rsidR="00331D12" w:rsidRPr="00331D12" w:rsidRDefault="00331D12" w:rsidP="00331D12">
            <w:r w:rsidRPr="00314AED">
              <w:t xml:space="preserve">Tenancy management </w:t>
            </w:r>
          </w:p>
          <w:p w14:paraId="619DA968" w14:textId="77777777" w:rsidR="00331D12" w:rsidRPr="00331D12" w:rsidRDefault="00331D12" w:rsidP="00331D12">
            <w:r w:rsidRPr="00314AED">
              <w:t xml:space="preserve">Estates </w:t>
            </w:r>
          </w:p>
          <w:p w14:paraId="7878DAD6" w14:textId="77777777" w:rsidR="00331D12" w:rsidRPr="00331D12" w:rsidRDefault="00331D12" w:rsidP="00331D12">
            <w:r w:rsidRPr="00314AED">
              <w:t xml:space="preserve">Repairs and Maintenance </w:t>
            </w:r>
          </w:p>
          <w:p w14:paraId="1FC63C8F" w14:textId="4F703EB3" w:rsidR="00331D12" w:rsidRPr="00331D12" w:rsidRDefault="00331D12" w:rsidP="00331D12">
            <w:r w:rsidRPr="00314AED">
              <w:t xml:space="preserve">Rent and recharges </w:t>
            </w:r>
          </w:p>
        </w:tc>
      </w:tr>
      <w:tr w:rsidR="00331D12" w14:paraId="34267655" w14:textId="77777777" w:rsidTr="00D152D5">
        <w:trPr>
          <w:trHeight w:val="1125"/>
        </w:trPr>
        <w:tc>
          <w:tcPr>
            <w:tcW w:w="3005" w:type="dxa"/>
          </w:tcPr>
          <w:p w14:paraId="202235B7" w14:textId="77777777" w:rsidR="00331D12" w:rsidRPr="00331D12" w:rsidRDefault="00331D12" w:rsidP="00331D12">
            <w:r w:rsidRPr="00314AED">
              <w:t xml:space="preserve">Local Government and Social Care Ombudsman </w:t>
            </w:r>
          </w:p>
          <w:p w14:paraId="5B737B68" w14:textId="77777777" w:rsidR="00331D12" w:rsidRPr="00331D12" w:rsidRDefault="00331D12" w:rsidP="00331D12">
            <w:hyperlink r:id="rId16" w:history="1">
              <w:r w:rsidRPr="00331D12">
                <w:rPr>
                  <w:rStyle w:val="Hyperlink"/>
                </w:rPr>
                <w:t>http://www.lgo.uk/contact-us</w:t>
              </w:r>
            </w:hyperlink>
            <w:r w:rsidRPr="00331D12">
              <w:t xml:space="preserve">  </w:t>
            </w:r>
          </w:p>
          <w:p w14:paraId="1AA785C3" w14:textId="78521B05" w:rsidR="00331D12" w:rsidRPr="00331D12" w:rsidRDefault="00331D12" w:rsidP="00331D12">
            <w:r w:rsidRPr="00314AED">
              <w:t>PO Box 4771</w:t>
            </w:r>
            <w:r w:rsidRPr="00314AED">
              <w:br/>
              <w:t>Coventry CV4 0EH</w:t>
            </w:r>
          </w:p>
        </w:tc>
        <w:tc>
          <w:tcPr>
            <w:tcW w:w="3005" w:type="dxa"/>
          </w:tcPr>
          <w:p w14:paraId="27C33C0B" w14:textId="4ABF66FE" w:rsidR="00331D12" w:rsidRPr="00331D12" w:rsidRDefault="00331D12" w:rsidP="00331D12">
            <w:r w:rsidRPr="00314AED">
              <w:t xml:space="preserve">Tenants and Leaseholders of </w:t>
            </w:r>
            <w:r w:rsidRPr="00331D12">
              <w:t>Tower Hamlets Council</w:t>
            </w:r>
          </w:p>
        </w:tc>
        <w:tc>
          <w:tcPr>
            <w:tcW w:w="3006" w:type="dxa"/>
          </w:tcPr>
          <w:p w14:paraId="3557201D" w14:textId="77777777" w:rsidR="00331D12" w:rsidRPr="00331D12" w:rsidRDefault="00331D12" w:rsidP="00331D12">
            <w:r w:rsidRPr="00314AED">
              <w:t xml:space="preserve">Home choice Register administration </w:t>
            </w:r>
          </w:p>
          <w:p w14:paraId="6A77C2B7" w14:textId="77777777" w:rsidR="00331D12" w:rsidRPr="00331D12" w:rsidRDefault="00331D12" w:rsidP="00331D12">
            <w:r w:rsidRPr="00314AED">
              <w:t>Housing Options</w:t>
            </w:r>
          </w:p>
          <w:p w14:paraId="07E3404D" w14:textId="0F75C515" w:rsidR="00331D12" w:rsidRPr="00331D12" w:rsidRDefault="00331D12" w:rsidP="00331D12">
            <w:r w:rsidRPr="00314AED">
              <w:t>Right to Buy</w:t>
            </w:r>
          </w:p>
        </w:tc>
      </w:tr>
    </w:tbl>
    <w:p w14:paraId="6D656841" w14:textId="77777777" w:rsidR="005B15AB" w:rsidRDefault="005B15AB" w:rsidP="005B15AB">
      <w:pPr>
        <w:pStyle w:val="Footer"/>
      </w:pPr>
    </w:p>
    <w:p w14:paraId="3C227E26" w14:textId="776B6097" w:rsidR="00BD6756" w:rsidRDefault="00BD6756" w:rsidP="00BD6756">
      <w:r w:rsidRPr="00AE16BC">
        <w:t>Complainants can take service charge disputes to the First Tier Tribunal (Property Chamber)</w:t>
      </w:r>
      <w:r w:rsidR="004F5F2E">
        <w:t>.</w:t>
      </w:r>
    </w:p>
    <w:p w14:paraId="5F456D09" w14:textId="77777777" w:rsidR="00F80654" w:rsidRDefault="00F80654" w:rsidP="00D152D5">
      <w:pPr>
        <w:pStyle w:val="Footer"/>
      </w:pPr>
    </w:p>
    <w:p w14:paraId="124E5DDC" w14:textId="77777777" w:rsidR="00BD6756" w:rsidRDefault="00BD6756" w:rsidP="00BD6756">
      <w:pPr>
        <w:pStyle w:val="Heading1"/>
      </w:pPr>
      <w:bookmarkStart w:id="15" w:name="_Toc168989935"/>
      <w:r>
        <w:t>Petitions</w:t>
      </w:r>
      <w:bookmarkEnd w:id="15"/>
    </w:p>
    <w:p w14:paraId="023977D3" w14:textId="181A62DA" w:rsidR="00711519" w:rsidRDefault="00BD6756" w:rsidP="005B15AB">
      <w:r w:rsidRPr="002F02E0">
        <w:t>We treat complaints received as petitions in the same way as all complaints.</w:t>
      </w:r>
      <w:r w:rsidR="00711519">
        <w:t xml:space="preserve"> </w:t>
      </w:r>
      <w:r w:rsidRPr="002F02E0">
        <w:t>We are happy to meet the petitioners as a group.</w:t>
      </w:r>
      <w:r w:rsidR="00567923">
        <w:t xml:space="preserve"> </w:t>
      </w:r>
      <w:r w:rsidRPr="002F02E0">
        <w:t>To help us handle the complaint efficiently, we will ask the group to nominate a single point of contact and we will work with this person to resolve the complaint.</w:t>
      </w:r>
      <w:r w:rsidR="00711519">
        <w:t xml:space="preserve"> </w:t>
      </w:r>
      <w:r w:rsidRPr="002F02E0">
        <w:t xml:space="preserve">Petitions will be logged onto </w:t>
      </w:r>
      <w:r w:rsidR="00B101A2">
        <w:t>our complaints management system</w:t>
      </w:r>
      <w:r w:rsidRPr="002F02E0">
        <w:t xml:space="preserve"> as a </w:t>
      </w:r>
      <w:r w:rsidR="00B101A2">
        <w:t>S</w:t>
      </w:r>
      <w:r w:rsidRPr="002F02E0">
        <w:t xml:space="preserve">tage 1 </w:t>
      </w:r>
      <w:r w:rsidR="00567923">
        <w:t>c</w:t>
      </w:r>
      <w:r w:rsidRPr="002F02E0">
        <w:t xml:space="preserve">omplaint but marked as a </w:t>
      </w:r>
      <w:r w:rsidR="00567923">
        <w:t>p</w:t>
      </w:r>
      <w:r w:rsidRPr="002F02E0">
        <w:t>etition.</w:t>
      </w:r>
      <w:r w:rsidR="00711519">
        <w:t xml:space="preserve"> </w:t>
      </w:r>
      <w:r w:rsidR="00567923">
        <w:t>Please s</w:t>
      </w:r>
      <w:r w:rsidRPr="002F02E0">
        <w:t xml:space="preserve">ee </w:t>
      </w:r>
      <w:r w:rsidR="00567923">
        <w:t>the</w:t>
      </w:r>
      <w:r w:rsidR="005E7056">
        <w:t xml:space="preserve"> Council's</w:t>
      </w:r>
      <w:r w:rsidR="00567923">
        <w:t xml:space="preserve"> </w:t>
      </w:r>
      <w:r w:rsidRPr="002F02E0">
        <w:t>Petitions Procedure</w:t>
      </w:r>
      <w:r w:rsidR="00567923">
        <w:t xml:space="preserve"> for guidance</w:t>
      </w:r>
      <w:r w:rsidRPr="002F02E0">
        <w:t>.</w:t>
      </w:r>
    </w:p>
    <w:p w14:paraId="14E45CB3" w14:textId="77777777" w:rsidR="00B90E78" w:rsidRDefault="00B90E78" w:rsidP="00B90E78">
      <w:pPr>
        <w:pStyle w:val="Footer"/>
      </w:pPr>
    </w:p>
    <w:p w14:paraId="6189E49A" w14:textId="0C5D8346" w:rsidR="00BD6756" w:rsidRDefault="00BE2F38" w:rsidP="00BD6756">
      <w:pPr>
        <w:pStyle w:val="Heading1"/>
      </w:pPr>
      <w:bookmarkStart w:id="16" w:name="_Toc168989936"/>
      <w:r>
        <w:lastRenderedPageBreak/>
        <w:t>Continuous learning and improvement</w:t>
      </w:r>
      <w:bookmarkEnd w:id="16"/>
    </w:p>
    <w:p w14:paraId="6BFECCCC" w14:textId="2C8E323A" w:rsidR="00647348" w:rsidRDefault="009D3001" w:rsidP="00BD6756">
      <w:r>
        <w:t xml:space="preserve">A positive complaint handling culture is crucial to </w:t>
      </w:r>
      <w:r w:rsidR="00993482">
        <w:t>the effectiveness of our dispute resolution</w:t>
      </w:r>
      <w:r w:rsidR="00BE0054">
        <w:t xml:space="preserve">. Complaints are opportunities to put things right and learn lessons </w:t>
      </w:r>
      <w:r w:rsidR="0040636C">
        <w:t>to introduce positive changes in our service delivery</w:t>
      </w:r>
      <w:r w:rsidR="00BD6756" w:rsidRPr="002F02E0">
        <w:t>.</w:t>
      </w:r>
      <w:r w:rsidR="00647348">
        <w:t xml:space="preserve"> </w:t>
      </w:r>
      <w:r w:rsidR="00BD6756" w:rsidRPr="002F02E0">
        <w:t>This</w:t>
      </w:r>
      <w:r w:rsidR="0040636C">
        <w:t xml:space="preserve"> </w:t>
      </w:r>
      <w:r w:rsidR="00BD6756" w:rsidRPr="002F02E0">
        <w:t xml:space="preserve">could </w:t>
      </w:r>
      <w:r w:rsidR="00E61D0A" w:rsidRPr="002F02E0">
        <w:t>be</w:t>
      </w:r>
      <w:r w:rsidR="00BD6756" w:rsidRPr="002F02E0">
        <w:t xml:space="preserve"> </w:t>
      </w:r>
      <w:r w:rsidR="003373BC">
        <w:t xml:space="preserve">by </w:t>
      </w:r>
      <w:r w:rsidR="00BD6756" w:rsidRPr="002F02E0">
        <w:t>changing our processes</w:t>
      </w:r>
      <w:r w:rsidR="00E81738">
        <w:t>,</w:t>
      </w:r>
      <w:r w:rsidR="00BD6756" w:rsidRPr="002F02E0">
        <w:t xml:space="preserve"> reviewing our policies</w:t>
      </w:r>
      <w:r w:rsidR="00E81738">
        <w:t>,</w:t>
      </w:r>
      <w:r w:rsidR="00BD6756" w:rsidRPr="002F02E0">
        <w:t xml:space="preserve"> or training for staff. </w:t>
      </w:r>
    </w:p>
    <w:p w14:paraId="0213CCE1" w14:textId="5B49227C" w:rsidR="00BD6756" w:rsidRPr="002F02E0" w:rsidRDefault="00BD6756" w:rsidP="00BD6756">
      <w:r w:rsidRPr="002F02E0">
        <w:t xml:space="preserve">To achieve this, </w:t>
      </w:r>
      <w:r w:rsidR="00CF7A22">
        <w:t xml:space="preserve">the </w:t>
      </w:r>
      <w:r w:rsidRPr="002F02E0">
        <w:t>Customer Relations Team play</w:t>
      </w:r>
      <w:r w:rsidR="007B278C">
        <w:t>s</w:t>
      </w:r>
      <w:r w:rsidRPr="002F02E0">
        <w:t xml:space="preserve"> an active role in helping services across </w:t>
      </w:r>
      <w:r w:rsidR="00CC5C21">
        <w:t>the Council's Housing Management division</w:t>
      </w:r>
      <w:r w:rsidRPr="002F02E0">
        <w:t xml:space="preserve"> to identify learning</w:t>
      </w:r>
      <w:r w:rsidR="00E81738">
        <w:t>,</w:t>
      </w:r>
      <w:r w:rsidRPr="002F02E0">
        <w:t xml:space="preserve"> and embed this in how they deliver services. The </w:t>
      </w:r>
      <w:r w:rsidR="007B278C">
        <w:t>t</w:t>
      </w:r>
      <w:r w:rsidRPr="002F02E0">
        <w:t xml:space="preserve">eam </w:t>
      </w:r>
      <w:r w:rsidR="007B278C">
        <w:t>are</w:t>
      </w:r>
      <w:r w:rsidRPr="002F02E0">
        <w:t xml:space="preserve"> responsible for: </w:t>
      </w:r>
    </w:p>
    <w:p w14:paraId="4CA77A8D" w14:textId="163835AE" w:rsidR="00BD6756" w:rsidRPr="002F02E0" w:rsidRDefault="00BD6756" w:rsidP="00BD6756">
      <w:pPr>
        <w:pStyle w:val="ListBullet"/>
      </w:pPr>
      <w:r w:rsidRPr="002F02E0">
        <w:t>Monitoring complaints to ensure that response times are achieved</w:t>
      </w:r>
      <w:r w:rsidR="007B278C">
        <w:t>.</w:t>
      </w:r>
    </w:p>
    <w:p w14:paraId="16ABE230" w14:textId="0570043E" w:rsidR="00A92E19" w:rsidRDefault="00BD6756" w:rsidP="00A92E19">
      <w:pPr>
        <w:pStyle w:val="ListBullet"/>
      </w:pPr>
      <w:r w:rsidRPr="002F02E0">
        <w:t>Reviewing complaints, identifying trends, best practice and highlighting lessons learnt in conjunction with service areas</w:t>
      </w:r>
      <w:r w:rsidR="007B278C">
        <w:t>.</w:t>
      </w:r>
    </w:p>
    <w:p w14:paraId="5CBE8189" w14:textId="0F424900" w:rsidR="00BD6756" w:rsidRPr="002F02E0" w:rsidRDefault="00BD6756" w:rsidP="00A92E19">
      <w:pPr>
        <w:pStyle w:val="ListBullet"/>
      </w:pPr>
      <w:r w:rsidRPr="002F02E0">
        <w:t>Capturing feedback on the complaints handling process</w:t>
      </w:r>
      <w:r w:rsidR="00886F4C">
        <w:t xml:space="preserve"> including </w:t>
      </w:r>
      <w:r w:rsidR="00A92E19">
        <w:t>o</w:t>
      </w:r>
      <w:r w:rsidR="00A92E19" w:rsidRPr="00A92E19">
        <w:rPr>
          <w:lang w:eastAsia="en-GB"/>
        </w:rPr>
        <w:t>utcomes of complaints</w:t>
      </w:r>
      <w:r w:rsidR="00A92E19">
        <w:t xml:space="preserve"> and</w:t>
      </w:r>
      <w:r w:rsidR="00A92E19" w:rsidRPr="00A92E19">
        <w:rPr>
          <w:lang w:eastAsia="en-GB"/>
        </w:rPr>
        <w:t xml:space="preserve"> </w:t>
      </w:r>
      <w:r w:rsidR="002E708F">
        <w:t xml:space="preserve">Housing </w:t>
      </w:r>
      <w:r w:rsidR="00A92E19" w:rsidRPr="00A92E19">
        <w:rPr>
          <w:lang w:eastAsia="en-GB"/>
        </w:rPr>
        <w:t>Ombudsman investigations</w:t>
      </w:r>
      <w:r w:rsidR="00A92E19">
        <w:t>,</w:t>
      </w:r>
      <w:r w:rsidR="00A92E19" w:rsidRPr="00A92E19">
        <w:rPr>
          <w:lang w:eastAsia="en-GB"/>
        </w:rPr>
        <w:t xml:space="preserve"> and progress made in complying with orders related to severe maladministration findings</w:t>
      </w:r>
      <w:r w:rsidR="00E6757E">
        <w:t>.</w:t>
      </w:r>
    </w:p>
    <w:p w14:paraId="7DAC0610" w14:textId="596BC46F" w:rsidR="00A92E19" w:rsidRPr="002F02E0" w:rsidRDefault="00BD6756" w:rsidP="00A92E19">
      <w:pPr>
        <w:pStyle w:val="ListBullet"/>
      </w:pPr>
      <w:r w:rsidRPr="002F02E0">
        <w:t xml:space="preserve">Supporting service areas to track and deliver on commitments </w:t>
      </w:r>
      <w:r w:rsidR="00AA5EC3" w:rsidRPr="002F02E0">
        <w:t>made and</w:t>
      </w:r>
      <w:r w:rsidRPr="002F02E0">
        <w:t xml:space="preserve"> explore options for a resolution with residents at the point of receiving a request for an escalation</w:t>
      </w:r>
      <w:r w:rsidR="00E6757E">
        <w:t>.</w:t>
      </w:r>
    </w:p>
    <w:p w14:paraId="2523A2AD" w14:textId="5CF23A39" w:rsidR="00BD6756" w:rsidRPr="002F02E0" w:rsidRDefault="00BD6756" w:rsidP="00BD6756">
      <w:pPr>
        <w:pStyle w:val="ListBullet"/>
      </w:pPr>
      <w:r w:rsidRPr="002F02E0">
        <w:t>Producing a frequent report highlighting performance trends, compliance with policy, causes for complaints escalations and learning which will be fed back to</w:t>
      </w:r>
      <w:r w:rsidR="00746E46">
        <w:t xml:space="preserve"> stakeholders such</w:t>
      </w:r>
      <w:r w:rsidRPr="002F02E0">
        <w:t xml:space="preserve"> </w:t>
      </w:r>
      <w:r w:rsidR="00746E46">
        <w:t>as</w:t>
      </w:r>
      <w:r w:rsidRPr="002F02E0">
        <w:t xml:space="preserve"> </w:t>
      </w:r>
      <w:r w:rsidR="002E708F">
        <w:t>the</w:t>
      </w:r>
      <w:r w:rsidR="00C76415">
        <w:t xml:space="preserve"> elected Members, the</w:t>
      </w:r>
      <w:r w:rsidRPr="002F02E0">
        <w:t xml:space="preserve"> </w:t>
      </w:r>
      <w:r w:rsidR="009C36E3">
        <w:t xml:space="preserve">Corporate Management </w:t>
      </w:r>
      <w:r w:rsidRPr="002F02E0">
        <w:t>Team</w:t>
      </w:r>
      <w:r w:rsidR="00746E46">
        <w:t>,</w:t>
      </w:r>
      <w:r w:rsidRPr="002F02E0">
        <w:t xml:space="preserve"> and </w:t>
      </w:r>
      <w:r w:rsidR="00C76415">
        <w:t>r</w:t>
      </w:r>
      <w:r w:rsidRPr="002F02E0">
        <w:t>esident</w:t>
      </w:r>
      <w:r w:rsidR="00C76415">
        <w:t xml:space="preserve"> bodies</w:t>
      </w:r>
      <w:r w:rsidR="00B35C41">
        <w:t>.</w:t>
      </w:r>
    </w:p>
    <w:p w14:paraId="632489FB" w14:textId="4D82669B" w:rsidR="00BD6756" w:rsidRPr="002F02E0" w:rsidRDefault="00BD6756" w:rsidP="00BD6756">
      <w:pPr>
        <w:pStyle w:val="ListBullet"/>
      </w:pPr>
      <w:r w:rsidRPr="002F02E0">
        <w:t>Publishing quarterly information on complaints and performance in customer newsletters</w:t>
      </w:r>
      <w:r w:rsidR="00B35C41">
        <w:t>.</w:t>
      </w:r>
    </w:p>
    <w:p w14:paraId="0BCE58CC" w14:textId="355F828F" w:rsidR="00BD6756" w:rsidRPr="002F02E0" w:rsidRDefault="00BD6756" w:rsidP="00BD6756">
      <w:pPr>
        <w:pStyle w:val="ListBullet"/>
      </w:pPr>
      <w:r w:rsidRPr="002F02E0">
        <w:t xml:space="preserve">Quality assessing a sample of responses from each service </w:t>
      </w:r>
      <w:r w:rsidR="00E95C83" w:rsidRPr="002F02E0">
        <w:t>a</w:t>
      </w:r>
      <w:r w:rsidR="00E95C83">
        <w:t>r</w:t>
      </w:r>
      <w:r w:rsidR="00E95C83" w:rsidRPr="002F02E0">
        <w:t>ea</w:t>
      </w:r>
      <w:r w:rsidRPr="002F02E0">
        <w:t xml:space="preserve"> to ensure that the policy is being applied consistently across the service</w:t>
      </w:r>
      <w:r w:rsidR="007B278C">
        <w:t>.</w:t>
      </w:r>
    </w:p>
    <w:p w14:paraId="06315232" w14:textId="4D25C987" w:rsidR="00BD6756" w:rsidRPr="002F02E0" w:rsidRDefault="00BD6756" w:rsidP="00BD6756">
      <w:pPr>
        <w:pStyle w:val="ListBullet"/>
      </w:pPr>
      <w:r w:rsidRPr="002F02E0">
        <w:t xml:space="preserve">Supporting </w:t>
      </w:r>
      <w:r w:rsidR="00325EBA">
        <w:t xml:space="preserve">the </w:t>
      </w:r>
      <w:r w:rsidRPr="002F02E0">
        <w:t>swift resol</w:t>
      </w:r>
      <w:r w:rsidR="00325EBA">
        <w:t>ution of</w:t>
      </w:r>
      <w:r w:rsidRPr="002F02E0">
        <w:t xml:space="preserve"> </w:t>
      </w:r>
      <w:r w:rsidR="00FE7DF0">
        <w:t>S</w:t>
      </w:r>
      <w:r w:rsidRPr="002F02E0">
        <w:t>tage 2 complaints and monitor</w:t>
      </w:r>
      <w:r w:rsidR="00325EBA">
        <w:t>ing</w:t>
      </w:r>
      <w:r w:rsidRPr="002F02E0">
        <w:t xml:space="preserve"> performance</w:t>
      </w:r>
      <w:r w:rsidR="003076B9">
        <w:t>.</w:t>
      </w:r>
    </w:p>
    <w:p w14:paraId="2D2AF19A" w14:textId="242DCFCD" w:rsidR="00BD6756" w:rsidRDefault="00BD6756" w:rsidP="00BD6756">
      <w:pPr>
        <w:pStyle w:val="ListBullet"/>
      </w:pPr>
      <w:r>
        <w:t>Act</w:t>
      </w:r>
      <w:r w:rsidR="00325EBA">
        <w:t>ing</w:t>
      </w:r>
      <w:r>
        <w:t xml:space="preserve"> as key point of contact for the H</w:t>
      </w:r>
      <w:r w:rsidR="00FE7DF0">
        <w:t xml:space="preserve">ousing </w:t>
      </w:r>
      <w:r w:rsidR="003076B9">
        <w:t>O</w:t>
      </w:r>
      <w:r w:rsidR="00FE7DF0">
        <w:t>mbudsman</w:t>
      </w:r>
      <w:r w:rsidRPr="002F02E0">
        <w:t xml:space="preserve"> on cases that have already or are yet to exhaust our complaints procedure. We will also be proactively monitoring decisions made by the </w:t>
      </w:r>
      <w:r w:rsidR="003076B9">
        <w:t>H</w:t>
      </w:r>
      <w:r w:rsidR="00FE7DF0">
        <w:t xml:space="preserve">ousing </w:t>
      </w:r>
      <w:r w:rsidRPr="002F02E0">
        <w:t>O</w:t>
      </w:r>
      <w:r w:rsidR="00FE7DF0">
        <w:t>mbudsman</w:t>
      </w:r>
      <w:r w:rsidR="00CE72B9">
        <w:t xml:space="preserve"> to</w:t>
      </w:r>
      <w:r w:rsidRPr="002F02E0">
        <w:t xml:space="preserve"> ensure </w:t>
      </w:r>
      <w:r w:rsidR="00FE7DF0">
        <w:t>the Council</w:t>
      </w:r>
      <w:r w:rsidRPr="002F02E0">
        <w:t xml:space="preserve"> is able to learn from them. </w:t>
      </w:r>
    </w:p>
    <w:p w14:paraId="27A1F70B" w14:textId="77777777" w:rsidR="005D2037" w:rsidRDefault="005D2037" w:rsidP="005D2037">
      <w:pPr>
        <w:pStyle w:val="ListBullet"/>
        <w:numPr>
          <w:ilvl w:val="0"/>
          <w:numId w:val="0"/>
        </w:numPr>
        <w:ind w:left="360" w:hanging="360"/>
      </w:pPr>
    </w:p>
    <w:p w14:paraId="0F42C5E3" w14:textId="638A28E2" w:rsidR="00B90E78" w:rsidRDefault="005D2037" w:rsidP="005D2037">
      <w:r>
        <w:t>W</w:t>
      </w:r>
      <w:r w:rsidRPr="005D2037">
        <w:t xml:space="preserve">hilst will always monitor the volumes of complaints we </w:t>
      </w:r>
      <w:r w:rsidR="001366A1" w:rsidRPr="005D2037">
        <w:t>receive;</w:t>
      </w:r>
      <w:r w:rsidRPr="005D2037">
        <w:t xml:space="preserve"> our priority will always</w:t>
      </w:r>
      <w:r>
        <w:t xml:space="preserve"> </w:t>
      </w:r>
      <w:r w:rsidRPr="005D2037">
        <w:t xml:space="preserve">be to </w:t>
      </w:r>
      <w:r>
        <w:t xml:space="preserve">learn from complaints and ensure </w:t>
      </w:r>
      <w:r w:rsidR="001366A1">
        <w:t xml:space="preserve">that learning is reflected in the services we deliver. </w:t>
      </w:r>
    </w:p>
    <w:p w14:paraId="6E1D5B21" w14:textId="77777777" w:rsidR="00B90E78" w:rsidRDefault="00B90E78" w:rsidP="00B90E78">
      <w:pPr>
        <w:pStyle w:val="Footer"/>
      </w:pPr>
    </w:p>
    <w:p w14:paraId="1510FBFD" w14:textId="47B74B04" w:rsidR="00BE2F38" w:rsidRDefault="00BE2F38" w:rsidP="00BD6756">
      <w:pPr>
        <w:pStyle w:val="Heading1"/>
      </w:pPr>
      <w:bookmarkStart w:id="17" w:name="_Toc168989937"/>
      <w:r>
        <w:t>Scrutiny &amp; oversight</w:t>
      </w:r>
      <w:bookmarkEnd w:id="17"/>
    </w:p>
    <w:p w14:paraId="767293E6" w14:textId="77777777" w:rsidR="00C001C7" w:rsidRDefault="00E61D0A" w:rsidP="00BE2F38">
      <w:r>
        <w:t>W</w:t>
      </w:r>
      <w:r w:rsidR="00DC6482">
        <w:t>e are committed to</w:t>
      </w:r>
      <w:r w:rsidR="00BF5650">
        <w:t xml:space="preserve"> supporting a positive complaint handling culture. </w:t>
      </w:r>
      <w:r w:rsidR="00F63D27">
        <w:t xml:space="preserve">To improve </w:t>
      </w:r>
      <w:r w:rsidR="00DC6482">
        <w:t>accountability and transparency</w:t>
      </w:r>
      <w:r w:rsidR="000A2A78">
        <w:t xml:space="preserve"> </w:t>
      </w:r>
      <w:r w:rsidR="004A3BD9">
        <w:t xml:space="preserve">we regularly report back on wider learning and improvements from complaints to </w:t>
      </w:r>
      <w:r w:rsidR="00C83CB3">
        <w:t xml:space="preserve">our </w:t>
      </w:r>
      <w:r w:rsidR="00E962DE">
        <w:t>stakeholders which includes residents and staff</w:t>
      </w:r>
      <w:r w:rsidR="00A71209">
        <w:t>.</w:t>
      </w:r>
      <w:r w:rsidR="002D48A1">
        <w:t xml:space="preserve"> The</w:t>
      </w:r>
      <w:r w:rsidR="003826C1">
        <w:t xml:space="preserve"> lead </w:t>
      </w:r>
      <w:r w:rsidR="002D48A1">
        <w:t>M</w:t>
      </w:r>
      <w:r w:rsidR="003826C1">
        <w:t>ember for</w:t>
      </w:r>
      <w:r w:rsidR="00702D06">
        <w:t xml:space="preserve"> our</w:t>
      </w:r>
      <w:r w:rsidR="006F037B">
        <w:t xml:space="preserve"> housing portfolio</w:t>
      </w:r>
      <w:r w:rsidR="008C1D2E">
        <w:t xml:space="preserve"> </w:t>
      </w:r>
      <w:r w:rsidR="00E962DE">
        <w:t xml:space="preserve">is </w:t>
      </w:r>
      <w:r w:rsidR="00702D06">
        <w:t xml:space="preserve">also </w:t>
      </w:r>
      <w:r w:rsidR="00E962DE">
        <w:t>responsible</w:t>
      </w:r>
      <w:r w:rsidR="00702D06">
        <w:t xml:space="preserve"> for ensuring </w:t>
      </w:r>
      <w:r w:rsidR="002B6753">
        <w:t xml:space="preserve">our governing body receives regular </w:t>
      </w:r>
      <w:r w:rsidR="00347F25">
        <w:t xml:space="preserve">insight </w:t>
      </w:r>
      <w:r w:rsidR="002D749C">
        <w:t>into</w:t>
      </w:r>
      <w:r w:rsidR="00347F25">
        <w:t xml:space="preserve"> our </w:t>
      </w:r>
      <w:r w:rsidR="002D749C">
        <w:t xml:space="preserve">complaint handling </w:t>
      </w:r>
      <w:r w:rsidR="00F0351C">
        <w:t>performance and learning up</w:t>
      </w:r>
      <w:r w:rsidR="00117A41">
        <w:t xml:space="preserve">dates. </w:t>
      </w:r>
    </w:p>
    <w:p w14:paraId="3F686107" w14:textId="77777777" w:rsidR="00945193" w:rsidRDefault="00945193" w:rsidP="00BE2F38"/>
    <w:p w14:paraId="4A7B8ACC" w14:textId="0FF37A2D" w:rsidR="00945193" w:rsidRPr="00945193" w:rsidRDefault="00945193" w:rsidP="00945193">
      <w:pPr>
        <w:pStyle w:val="Heading2"/>
      </w:pPr>
      <w:bookmarkStart w:id="18" w:name="_Toc168989938"/>
      <w:r>
        <w:t>Reporting</w:t>
      </w:r>
      <w:bookmarkEnd w:id="18"/>
    </w:p>
    <w:p w14:paraId="2A40568A" w14:textId="77777777" w:rsidR="00945193" w:rsidRPr="00945193" w:rsidRDefault="00945193" w:rsidP="00945193">
      <w:r w:rsidRPr="00945193">
        <w:t>As part of our commitment to complying with the Housing Ombudsman's Complaints Handling Code we will ensure that we publish an updated annual self-assessment on our compliance with the code. This will be accessible to residents on the Council's website. Our self-assessment may be reviewed and updated earlier in the event of any significant change (e.g. major restructure or change in procedures/practices) or at the direction of the Ombudsman service.</w:t>
      </w:r>
    </w:p>
    <w:p w14:paraId="0144B977" w14:textId="77777777" w:rsidR="00945193" w:rsidRPr="00945193" w:rsidRDefault="00945193" w:rsidP="00945193">
      <w:r w:rsidRPr="00945193">
        <w:t>We will ensure that we produce regular reports on our complaints performance and service improvement priorities. Our reports will provide;</w:t>
      </w:r>
    </w:p>
    <w:p w14:paraId="448BA8BA" w14:textId="77777777" w:rsidR="00945193" w:rsidRPr="00945193" w:rsidRDefault="00945193" w:rsidP="00945193">
      <w:pPr>
        <w:pStyle w:val="ListBullet"/>
      </w:pPr>
      <w:r w:rsidRPr="00945193">
        <w:t>an assessment on our compliance against the Complaint's Handling Code</w:t>
      </w:r>
    </w:p>
    <w:p w14:paraId="3CD4BEA4" w14:textId="77777777" w:rsidR="00945193" w:rsidRPr="00945193" w:rsidRDefault="00945193" w:rsidP="00945193">
      <w:pPr>
        <w:pStyle w:val="ListBullet"/>
      </w:pPr>
      <w:r w:rsidRPr="00945193">
        <w:t>a qualitative and quantitative analysis of our complaint handling performance</w:t>
      </w:r>
    </w:p>
    <w:p w14:paraId="48A25B11" w14:textId="77777777" w:rsidR="00945193" w:rsidRPr="00945193" w:rsidRDefault="00945193" w:rsidP="00945193">
      <w:pPr>
        <w:pStyle w:val="ListBullet"/>
      </w:pPr>
      <w:r w:rsidRPr="00945193">
        <w:t>highlight any findings of non-compliance with the Code by the Ombudsman; </w:t>
      </w:r>
    </w:p>
    <w:p w14:paraId="178C6B94" w14:textId="77777777" w:rsidR="00945193" w:rsidRPr="00945193" w:rsidRDefault="00945193" w:rsidP="00945193">
      <w:pPr>
        <w:pStyle w:val="ListBullet"/>
      </w:pPr>
      <w:r w:rsidRPr="00945193">
        <w:t>set out service improvements made as a result of the learning from complaints; </w:t>
      </w:r>
    </w:p>
    <w:p w14:paraId="0107BC6D" w14:textId="77777777" w:rsidR="00945193" w:rsidRPr="00945193" w:rsidRDefault="00945193" w:rsidP="00945193">
      <w:pPr>
        <w:pStyle w:val="ListBullet"/>
      </w:pPr>
      <w:r w:rsidRPr="00945193">
        <w:t>highlight any annual or relevant report about our performance from the Ombudsman</w:t>
      </w:r>
    </w:p>
    <w:p w14:paraId="20D442CB" w14:textId="77777777" w:rsidR="00945193" w:rsidRPr="00945193" w:rsidRDefault="00945193" w:rsidP="00945193">
      <w:pPr>
        <w:rPr>
          <w:lang w:eastAsia="en-GB"/>
        </w:rPr>
      </w:pPr>
      <w:r w:rsidRPr="00945193">
        <w:t>These will be shared with our governing body and formal resident engagement structures. We will also produce an annual report on our performance for the year which will be published on our website.</w:t>
      </w:r>
    </w:p>
    <w:p w14:paraId="349B7245" w14:textId="21F92495" w:rsidR="00945193" w:rsidRDefault="00945193" w:rsidP="00BE2F38">
      <w:r w:rsidRPr="00945193">
        <w:t>In the event we are unable to comply with the Code due to exceptional circumstances, such as a cyber incident, we will notify the Ombudsman, provide information to residents who may be affected, and publish this on our website. We will also provide a timescale for returning to compliance with the Code.</w:t>
      </w:r>
    </w:p>
    <w:p w14:paraId="7A8C1F79" w14:textId="77777777" w:rsidR="004A6253" w:rsidRDefault="004A6253" w:rsidP="007740CA">
      <w:pPr>
        <w:pStyle w:val="Footer"/>
      </w:pPr>
    </w:p>
    <w:p w14:paraId="68CB9C49" w14:textId="59335D30" w:rsidR="006F6415" w:rsidRDefault="006F6415" w:rsidP="00676FC0">
      <w:pPr>
        <w:pStyle w:val="Heading2"/>
      </w:pPr>
      <w:bookmarkStart w:id="19" w:name="_Toc168989939"/>
      <w:r>
        <w:t>Accountable person for complaint handling</w:t>
      </w:r>
      <w:bookmarkEnd w:id="19"/>
    </w:p>
    <w:p w14:paraId="3F189ED7" w14:textId="26241734" w:rsidR="00CD5AE0" w:rsidRDefault="00572094" w:rsidP="00BE2F38">
      <w:r>
        <w:t>The Housing Ombudsman Code requ</w:t>
      </w:r>
      <w:r w:rsidR="00886D62">
        <w:t>ires</w:t>
      </w:r>
      <w:r w:rsidR="009F3D1E">
        <w:t xml:space="preserve"> a </w:t>
      </w:r>
      <w:r w:rsidR="00DA2989">
        <w:t xml:space="preserve">senior lead </w:t>
      </w:r>
      <w:r w:rsidR="00173BBB">
        <w:t xml:space="preserve">person as </w:t>
      </w:r>
      <w:r w:rsidR="00F722CF">
        <w:t xml:space="preserve">the accountable person for complaint handling. </w:t>
      </w:r>
      <w:r w:rsidR="006357C5">
        <w:t xml:space="preserve">Our Head of Regulatory Assurance holds this role </w:t>
      </w:r>
      <w:r w:rsidR="00CE059B">
        <w:t>and will assess themes and trends, identify systematic issues, risks and policies that require intervention.</w:t>
      </w:r>
    </w:p>
    <w:p w14:paraId="230E1281" w14:textId="77777777" w:rsidR="00945193" w:rsidRDefault="00945193" w:rsidP="00BE2F38"/>
    <w:p w14:paraId="582D1EE9" w14:textId="16F1AEC2" w:rsidR="00CE059B" w:rsidRDefault="00AB350D" w:rsidP="00CE059B">
      <w:pPr>
        <w:pStyle w:val="Heading2"/>
      </w:pPr>
      <w:bookmarkStart w:id="20" w:name="_Toc168989940"/>
      <w:r>
        <w:t>Member Responsible for Complaints (MRC)</w:t>
      </w:r>
      <w:bookmarkEnd w:id="20"/>
    </w:p>
    <w:p w14:paraId="1A2E258F" w14:textId="030E4A73" w:rsidR="00AB350D" w:rsidRPr="00676FC0" w:rsidRDefault="00AB350D" w:rsidP="00AB350D">
      <w:pPr>
        <w:rPr>
          <w:lang w:eastAsia="en-GB"/>
        </w:rPr>
      </w:pPr>
      <w:r>
        <w:t xml:space="preserve">The Housing Ombudsman Code requires a member of the governing body or equivalent to </w:t>
      </w:r>
      <w:r w:rsidR="0061265F">
        <w:t xml:space="preserve">be appointed to have lead responsibility for complaints. Our Corporate Director of Housing &amp; Regeneration holds this role </w:t>
      </w:r>
      <w:r w:rsidR="00584123">
        <w:t>as the Responsible Person for the Consumer Standards.</w:t>
      </w:r>
      <w:r w:rsidR="006632EF">
        <w:t xml:space="preserve"> Ultimate accountability lies with the Lead Member of Housing.</w:t>
      </w:r>
    </w:p>
    <w:p w14:paraId="5FB0E305" w14:textId="68AF3159" w:rsidR="00BE2F38" w:rsidRPr="00BE2F38" w:rsidRDefault="00BE2F38" w:rsidP="007740CA">
      <w:pPr>
        <w:pStyle w:val="Footer"/>
        <w:rPr>
          <w:lang w:eastAsia="en-GB"/>
        </w:rPr>
      </w:pPr>
    </w:p>
    <w:p w14:paraId="63836594" w14:textId="39C35141" w:rsidR="00BD6756" w:rsidRPr="002F02E0" w:rsidRDefault="00BD6756" w:rsidP="00BD6756">
      <w:pPr>
        <w:pStyle w:val="Heading1"/>
      </w:pPr>
      <w:bookmarkStart w:id="21" w:name="_Toc168989941"/>
      <w:r w:rsidRPr="002F02E0">
        <w:t>Consultation and tenant involvement</w:t>
      </w:r>
      <w:bookmarkEnd w:id="21"/>
    </w:p>
    <w:p w14:paraId="42DCC74A" w14:textId="16527410" w:rsidR="00BD6756" w:rsidRPr="002F02E0" w:rsidRDefault="00BD6756" w:rsidP="00BD6756">
      <w:r w:rsidRPr="002F02E0">
        <w:t xml:space="preserve">We recognise the importance of working in partnership with our residents to develop and continuously improve our services. We will involve our residents in reviewing and learning from complaints.  </w:t>
      </w:r>
    </w:p>
    <w:p w14:paraId="2AD64AA2" w14:textId="5D2FE482" w:rsidR="00BD6756" w:rsidRDefault="00BD6756" w:rsidP="00BD6756">
      <w:r w:rsidRPr="002F02E0">
        <w:lastRenderedPageBreak/>
        <w:t xml:space="preserve">Where appropriate we may invite residents to take part in focus groups and workshops to provide </w:t>
      </w:r>
      <w:r w:rsidR="00D77B01" w:rsidRPr="002F02E0">
        <w:t>feedback</w:t>
      </w:r>
      <w:r w:rsidR="00D77B01">
        <w:t xml:space="preserve"> and</w:t>
      </w:r>
      <w:r w:rsidRPr="002F02E0">
        <w:t xml:space="preserve"> serve as case studies that can be used to assist with the review of our policies and working practices.  </w:t>
      </w:r>
    </w:p>
    <w:p w14:paraId="3F9BA1E1" w14:textId="77777777" w:rsidR="00D77B01" w:rsidRPr="002F02E0" w:rsidRDefault="00D77B01" w:rsidP="007740CA">
      <w:pPr>
        <w:pStyle w:val="Footer"/>
      </w:pPr>
    </w:p>
    <w:p w14:paraId="79FA0024" w14:textId="77777777" w:rsidR="00BD6756" w:rsidRPr="002F02E0" w:rsidRDefault="00BD6756" w:rsidP="00BD6756">
      <w:pPr>
        <w:pStyle w:val="Heading1"/>
      </w:pPr>
      <w:bookmarkStart w:id="22" w:name="_Toc168989942"/>
      <w:r w:rsidRPr="002F02E0">
        <w:t>Reasonable Adjustment Policy</w:t>
      </w:r>
      <w:bookmarkEnd w:id="22"/>
      <w:r w:rsidRPr="002F02E0">
        <w:t xml:space="preserve">  </w:t>
      </w:r>
    </w:p>
    <w:p w14:paraId="01576F24" w14:textId="5EF6E151" w:rsidR="0051524C" w:rsidRPr="004A1EA9" w:rsidRDefault="008F0BF0" w:rsidP="004A1EA9">
      <w:r>
        <w:t>The Council</w:t>
      </w:r>
      <w:r w:rsidR="00BD6756" w:rsidRPr="004A1EA9">
        <w:t xml:space="preserve"> is committed to</w:t>
      </w:r>
      <w:r w:rsidR="00EE6B00" w:rsidRPr="004A1EA9">
        <w:t xml:space="preserve"> meeting its duties un</w:t>
      </w:r>
      <w:r w:rsidR="006677D9" w:rsidRPr="004A1EA9">
        <w:t>der the Equality Act 2010</w:t>
      </w:r>
      <w:r w:rsidR="00F85ACB">
        <w:t xml:space="preserve">. </w:t>
      </w:r>
      <w:r w:rsidR="00412474">
        <w:t xml:space="preserve">Our Reasonable Adjustments Policy anticipates the needs of residents </w:t>
      </w:r>
      <w:r w:rsidR="00746239">
        <w:t xml:space="preserve">and </w:t>
      </w:r>
      <w:r w:rsidR="002852C7">
        <w:t>the</w:t>
      </w:r>
      <w:r w:rsidR="00FB7180">
        <w:t xml:space="preserve"> types of </w:t>
      </w:r>
      <w:r w:rsidR="00746239">
        <w:t>reasonable adjustments th</w:t>
      </w:r>
      <w:r w:rsidR="00FB7180">
        <w:t xml:space="preserve">ey may need </w:t>
      </w:r>
      <w:r w:rsidR="00E81960">
        <w:t xml:space="preserve">to ensure </w:t>
      </w:r>
      <w:r w:rsidR="00FB7180">
        <w:t xml:space="preserve">that </w:t>
      </w:r>
      <w:r w:rsidR="00E81960">
        <w:t>they are not disadvantaged in accessing our complaints process.</w:t>
      </w:r>
      <w:r w:rsidR="00C40CA1" w:rsidRPr="004A1EA9">
        <w:t xml:space="preserve"> </w:t>
      </w:r>
    </w:p>
    <w:p w14:paraId="39E89A91" w14:textId="0EA1542F" w:rsidR="00EA4FA6" w:rsidRDefault="00EA4FA6" w:rsidP="00725905">
      <w:pPr>
        <w:pStyle w:val="Heading1"/>
        <w:numPr>
          <w:ilvl w:val="0"/>
          <w:numId w:val="0"/>
        </w:numPr>
      </w:pPr>
    </w:p>
    <w:p w14:paraId="46FF99AC" w14:textId="77777777" w:rsidR="00222F67" w:rsidRPr="00222F67" w:rsidRDefault="00222F67" w:rsidP="00222F67">
      <w:pPr>
        <w:rPr>
          <w:lang w:eastAsia="en-GB"/>
        </w:rPr>
      </w:pPr>
    </w:p>
    <w:sectPr w:rsidR="00222F67" w:rsidRPr="00222F67">
      <w:headerReference w:type="even" r:id="rId17"/>
      <w:headerReference w:type="default" r:id="rId18"/>
      <w:footerReference w:type="default" r:id="rId19"/>
      <w:head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E449" w14:textId="77777777" w:rsidR="00FD2403" w:rsidRDefault="00FD2403" w:rsidP="00DC0AA1">
      <w:pPr>
        <w:spacing w:after="0"/>
      </w:pPr>
      <w:r>
        <w:separator/>
      </w:r>
    </w:p>
  </w:endnote>
  <w:endnote w:type="continuationSeparator" w:id="0">
    <w:p w14:paraId="2A112980" w14:textId="77777777" w:rsidR="00FD2403" w:rsidRDefault="00FD2403" w:rsidP="00DC0A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7FB2" w14:textId="43BE5D60" w:rsidR="00C84D9C" w:rsidRDefault="00E56502">
    <w:pPr>
      <w:pStyle w:val="Footer"/>
    </w:pPr>
    <w:r>
      <w:t>Housing Complaints Policy &amp; Procedure 2024-2026</w:t>
    </w:r>
    <w:r>
      <w:tab/>
    </w:r>
    <w:sdt>
      <w:sdtPr>
        <w:id w:val="2094434679"/>
        <w:docPartObj>
          <w:docPartGallery w:val="Page Numbers (Bottom of Page)"/>
          <w:docPartUnique/>
        </w:docPartObj>
      </w:sdtPr>
      <w:sdtContent>
        <w:r>
          <w:tab/>
        </w:r>
        <w:r w:rsidRPr="00E56502">
          <w:fldChar w:fldCharType="begin"/>
        </w:r>
        <w:r w:rsidRPr="00E56502">
          <w:instrText xml:space="preserve"> PAGE   \* MERGEFORMAT </w:instrText>
        </w:r>
        <w:r w:rsidRPr="00E56502">
          <w:fldChar w:fldCharType="separate"/>
        </w:r>
        <w:r w:rsidRPr="00E56502">
          <w:t>2</w:t>
        </w:r>
        <w:r w:rsidRPr="00E5650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5DEBD" w14:textId="77777777" w:rsidR="00FD2403" w:rsidRDefault="00FD2403" w:rsidP="00DC0AA1">
      <w:pPr>
        <w:spacing w:after="0"/>
      </w:pPr>
      <w:r>
        <w:separator/>
      </w:r>
    </w:p>
  </w:footnote>
  <w:footnote w:type="continuationSeparator" w:id="0">
    <w:p w14:paraId="091DD833" w14:textId="77777777" w:rsidR="00FD2403" w:rsidRDefault="00FD2403" w:rsidP="00DC0A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9AB7" w14:textId="77777777" w:rsidR="00C84D9C" w:rsidRDefault="00C84D9C">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CDC2" w14:textId="77777777" w:rsidR="00C84D9C" w:rsidRDefault="00C84D9C">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7298" w14:textId="77777777" w:rsidR="00C84D9C" w:rsidRDefault="00C84D9C">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3BEED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167A3"/>
    <w:multiLevelType w:val="multilevel"/>
    <w:tmpl w:val="48624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40875"/>
    <w:multiLevelType w:val="multilevel"/>
    <w:tmpl w:val="B2308054"/>
    <w:lvl w:ilvl="0">
      <w:start w:val="5"/>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E7B145A"/>
    <w:multiLevelType w:val="multilevel"/>
    <w:tmpl w:val="9B3E47C2"/>
    <w:lvl w:ilvl="0">
      <w:start w:val="1"/>
      <w:numFmt w:val="decimal"/>
      <w:pStyle w:val="Heading1"/>
      <w:lvlText w:val="%1."/>
      <w:lvlJc w:val="left"/>
      <w:pPr>
        <w:ind w:left="360" w:hanging="360"/>
      </w:pPr>
      <w:rPr>
        <w:rFonts w:hint="default"/>
        <w:b/>
        <w:sz w:val="28"/>
        <w:szCs w:val="36"/>
      </w:rPr>
    </w:lvl>
    <w:lvl w:ilvl="1">
      <w:start w:val="1"/>
      <w:numFmt w:val="decimal"/>
      <w:pStyle w:val="Heading2"/>
      <w:lvlText w:val="%1.%2"/>
      <w:lvlJc w:val="left"/>
      <w:pPr>
        <w:ind w:left="1021" w:hanging="1021"/>
      </w:pPr>
      <w:rPr>
        <w:rFonts w:ascii="Arial" w:hAnsi="Arial" w:cs="Arial" w:hint="default"/>
        <w:sz w:val="24"/>
        <w:szCs w:val="28"/>
      </w:rPr>
    </w:lvl>
    <w:lvl w:ilvl="2">
      <w:start w:val="1"/>
      <w:numFmt w:val="decimal"/>
      <w:lvlText w:val="%1.%2.%3"/>
      <w:lvlJc w:val="left"/>
      <w:pPr>
        <w:ind w:left="1021" w:hanging="1021"/>
      </w:pPr>
      <w:rPr>
        <w:rFonts w:ascii="Calibri" w:hAnsi="Calibri" w:hint="default"/>
        <w:sz w:val="22"/>
      </w:rPr>
    </w:lvl>
    <w:lvl w:ilvl="3">
      <w:start w:val="1"/>
      <w:numFmt w:val="decimal"/>
      <w:lvlText w:val="%1.%2.%3.%4"/>
      <w:lvlJc w:val="left"/>
      <w:pPr>
        <w:ind w:left="1021" w:hanging="1021"/>
      </w:pPr>
      <w:rPr>
        <w:rFonts w:ascii="Calibri" w:hAnsi="Calibri" w:hint="default"/>
        <w:sz w:val="22"/>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1EE276A1"/>
    <w:multiLevelType w:val="multilevel"/>
    <w:tmpl w:val="86CE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184FEE"/>
    <w:multiLevelType w:val="hybridMultilevel"/>
    <w:tmpl w:val="677457DA"/>
    <w:lvl w:ilvl="0" w:tplc="98B83FCA">
      <w:start w:val="1"/>
      <w:numFmt w:val="lowerRoman"/>
      <w:pStyle w:val="RomanNumerals"/>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D6FFC"/>
    <w:multiLevelType w:val="multilevel"/>
    <w:tmpl w:val="D1C0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36410"/>
    <w:multiLevelType w:val="multilevel"/>
    <w:tmpl w:val="23B8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045E"/>
    <w:multiLevelType w:val="hybridMultilevel"/>
    <w:tmpl w:val="2F5A1CD4"/>
    <w:lvl w:ilvl="0" w:tplc="68AE5848">
      <w:start w:val="1"/>
      <w:numFmt w:val="low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47EAF"/>
    <w:multiLevelType w:val="hybridMultilevel"/>
    <w:tmpl w:val="CBF0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C097A"/>
    <w:multiLevelType w:val="multilevel"/>
    <w:tmpl w:val="D1903A18"/>
    <w:lvl w:ilvl="0">
      <w:start w:val="1"/>
      <w:numFmt w:val="lowerLetter"/>
      <w:lvlText w:val="%1."/>
      <w:lvlJc w:val="left"/>
      <w:pPr>
        <w:tabs>
          <w:tab w:val="num" w:pos="-360"/>
        </w:tabs>
        <w:ind w:left="-360" w:hanging="360"/>
      </w:pPr>
      <w:rPr>
        <w:b/>
        <w:bCs/>
      </w:r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11" w15:restartNumberingAfterBreak="0">
    <w:nsid w:val="5035578E"/>
    <w:multiLevelType w:val="hybridMultilevel"/>
    <w:tmpl w:val="30C0A596"/>
    <w:lvl w:ilvl="0" w:tplc="DF2C48BC">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10225D"/>
    <w:multiLevelType w:val="hybridMultilevel"/>
    <w:tmpl w:val="5C7465FE"/>
    <w:lvl w:ilvl="0" w:tplc="23E2F7F0">
      <w:start w:val="1"/>
      <w:numFmt w:val="lowerLetter"/>
      <w:pStyle w:val="a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D40A69"/>
    <w:multiLevelType w:val="multilevel"/>
    <w:tmpl w:val="D1903A18"/>
    <w:lvl w:ilvl="0">
      <w:start w:val="1"/>
      <w:numFmt w:val="lowerLetter"/>
      <w:lvlText w:val="%1."/>
      <w:lvlJc w:val="left"/>
      <w:pPr>
        <w:tabs>
          <w:tab w:val="num" w:pos="-360"/>
        </w:tabs>
        <w:ind w:left="-360" w:hanging="360"/>
      </w:pPr>
      <w:rPr>
        <w:b/>
        <w:bCs/>
      </w:r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14" w15:restartNumberingAfterBreak="0">
    <w:nsid w:val="6BCE0B4B"/>
    <w:multiLevelType w:val="multilevel"/>
    <w:tmpl w:val="F1DC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2634B"/>
    <w:multiLevelType w:val="multilevel"/>
    <w:tmpl w:val="E89E79D2"/>
    <w:lvl w:ilvl="0">
      <w:start w:val="6"/>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21960777">
    <w:abstractNumId w:val="3"/>
  </w:num>
  <w:num w:numId="2" w16cid:durableId="1705208553">
    <w:abstractNumId w:val="0"/>
  </w:num>
  <w:num w:numId="3" w16cid:durableId="748619934">
    <w:abstractNumId w:val="5"/>
  </w:num>
  <w:num w:numId="4" w16cid:durableId="1175612746">
    <w:abstractNumId w:val="12"/>
  </w:num>
  <w:num w:numId="5" w16cid:durableId="150758067">
    <w:abstractNumId w:val="11"/>
  </w:num>
  <w:num w:numId="6" w16cid:durableId="1136801856">
    <w:abstractNumId w:val="1"/>
  </w:num>
  <w:num w:numId="7" w16cid:durableId="512231327">
    <w:abstractNumId w:val="11"/>
    <w:lvlOverride w:ilvl="0">
      <w:startOverride w:val="1"/>
    </w:lvlOverride>
  </w:num>
  <w:num w:numId="8" w16cid:durableId="1504932655">
    <w:abstractNumId w:val="7"/>
  </w:num>
  <w:num w:numId="9" w16cid:durableId="855734427">
    <w:abstractNumId w:val="6"/>
  </w:num>
  <w:num w:numId="10" w16cid:durableId="126439768">
    <w:abstractNumId w:val="14"/>
  </w:num>
  <w:num w:numId="11" w16cid:durableId="1630864960">
    <w:abstractNumId w:val="4"/>
  </w:num>
  <w:num w:numId="12" w16cid:durableId="2102602278">
    <w:abstractNumId w:val="10"/>
  </w:num>
  <w:num w:numId="13" w16cid:durableId="31926901">
    <w:abstractNumId w:val="2"/>
  </w:num>
  <w:num w:numId="14" w16cid:durableId="413209098">
    <w:abstractNumId w:val="15"/>
  </w:num>
  <w:num w:numId="15" w16cid:durableId="1742754509">
    <w:abstractNumId w:val="8"/>
  </w:num>
  <w:num w:numId="16" w16cid:durableId="989090519">
    <w:abstractNumId w:val="12"/>
    <w:lvlOverride w:ilvl="0">
      <w:startOverride w:val="1"/>
    </w:lvlOverride>
  </w:num>
  <w:num w:numId="17" w16cid:durableId="1419324396">
    <w:abstractNumId w:val="9"/>
  </w:num>
  <w:num w:numId="18" w16cid:durableId="226384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1" w:cryptProviderType="rsaAES" w:cryptAlgorithmClass="hash" w:cryptAlgorithmType="typeAny" w:cryptAlgorithmSid="14" w:cryptSpinCount="100000" w:hash="i95doUSK8S6XWdoO4mpIj7ClP7q7EReOE9mOAixUvOhZJLaSONBBh6AFpsbq5qaer+w4E1itn30TgMOCdwL6sA==" w:salt="z1Nt+IPw+zkv0IGxUvOl2w=="/>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FB"/>
    <w:rsid w:val="000037A4"/>
    <w:rsid w:val="00003DEF"/>
    <w:rsid w:val="00004F80"/>
    <w:rsid w:val="00006501"/>
    <w:rsid w:val="00010242"/>
    <w:rsid w:val="00012482"/>
    <w:rsid w:val="00020168"/>
    <w:rsid w:val="00022F08"/>
    <w:rsid w:val="000362F8"/>
    <w:rsid w:val="000363E1"/>
    <w:rsid w:val="00046BC7"/>
    <w:rsid w:val="00051B0C"/>
    <w:rsid w:val="00054F98"/>
    <w:rsid w:val="00055EE0"/>
    <w:rsid w:val="00057AB1"/>
    <w:rsid w:val="00061E8B"/>
    <w:rsid w:val="00063A19"/>
    <w:rsid w:val="0006593F"/>
    <w:rsid w:val="0008268E"/>
    <w:rsid w:val="000903DF"/>
    <w:rsid w:val="00091A26"/>
    <w:rsid w:val="00091F06"/>
    <w:rsid w:val="0009744E"/>
    <w:rsid w:val="000A2948"/>
    <w:rsid w:val="000A2A78"/>
    <w:rsid w:val="000A408F"/>
    <w:rsid w:val="000A6A86"/>
    <w:rsid w:val="000A6D5B"/>
    <w:rsid w:val="000B07C1"/>
    <w:rsid w:val="000B2660"/>
    <w:rsid w:val="000B6124"/>
    <w:rsid w:val="000C313B"/>
    <w:rsid w:val="000C597A"/>
    <w:rsid w:val="000E7547"/>
    <w:rsid w:val="000F475A"/>
    <w:rsid w:val="000F5311"/>
    <w:rsid w:val="000F533B"/>
    <w:rsid w:val="000F54D5"/>
    <w:rsid w:val="000F5C10"/>
    <w:rsid w:val="00100357"/>
    <w:rsid w:val="001069D4"/>
    <w:rsid w:val="001106BC"/>
    <w:rsid w:val="00117A41"/>
    <w:rsid w:val="00120A1A"/>
    <w:rsid w:val="0012160A"/>
    <w:rsid w:val="0012351E"/>
    <w:rsid w:val="00133598"/>
    <w:rsid w:val="001344F6"/>
    <w:rsid w:val="00134C12"/>
    <w:rsid w:val="001366A1"/>
    <w:rsid w:val="00143656"/>
    <w:rsid w:val="00145570"/>
    <w:rsid w:val="00145811"/>
    <w:rsid w:val="00150BB0"/>
    <w:rsid w:val="001549C8"/>
    <w:rsid w:val="00156E49"/>
    <w:rsid w:val="00162A26"/>
    <w:rsid w:val="00170D2E"/>
    <w:rsid w:val="00173BBB"/>
    <w:rsid w:val="001759F7"/>
    <w:rsid w:val="00181E65"/>
    <w:rsid w:val="00195CAF"/>
    <w:rsid w:val="00195F09"/>
    <w:rsid w:val="0019788E"/>
    <w:rsid w:val="001A1E33"/>
    <w:rsid w:val="001A22DB"/>
    <w:rsid w:val="001A22E2"/>
    <w:rsid w:val="001A649C"/>
    <w:rsid w:val="001A65D3"/>
    <w:rsid w:val="001B15DB"/>
    <w:rsid w:val="001B6D36"/>
    <w:rsid w:val="001C4D48"/>
    <w:rsid w:val="001C5A43"/>
    <w:rsid w:val="001C6116"/>
    <w:rsid w:val="001E2EE1"/>
    <w:rsid w:val="001E4B1B"/>
    <w:rsid w:val="001E5AC8"/>
    <w:rsid w:val="001E6548"/>
    <w:rsid w:val="001F0355"/>
    <w:rsid w:val="001F63DE"/>
    <w:rsid w:val="002006A5"/>
    <w:rsid w:val="002049E5"/>
    <w:rsid w:val="00205CC3"/>
    <w:rsid w:val="00206E22"/>
    <w:rsid w:val="00216C42"/>
    <w:rsid w:val="0022018D"/>
    <w:rsid w:val="00221A20"/>
    <w:rsid w:val="00221A67"/>
    <w:rsid w:val="00222F67"/>
    <w:rsid w:val="00235CD2"/>
    <w:rsid w:val="00240E6A"/>
    <w:rsid w:val="002502D5"/>
    <w:rsid w:val="00250C08"/>
    <w:rsid w:val="00252A32"/>
    <w:rsid w:val="002609C0"/>
    <w:rsid w:val="00263185"/>
    <w:rsid w:val="00264BB1"/>
    <w:rsid w:val="0026715E"/>
    <w:rsid w:val="002675DF"/>
    <w:rsid w:val="002728CA"/>
    <w:rsid w:val="002741C6"/>
    <w:rsid w:val="00280BEF"/>
    <w:rsid w:val="002839F2"/>
    <w:rsid w:val="002852C7"/>
    <w:rsid w:val="0028648A"/>
    <w:rsid w:val="00290233"/>
    <w:rsid w:val="00293FB0"/>
    <w:rsid w:val="00294E84"/>
    <w:rsid w:val="002956DB"/>
    <w:rsid w:val="002A19B6"/>
    <w:rsid w:val="002A19F2"/>
    <w:rsid w:val="002A3729"/>
    <w:rsid w:val="002A6776"/>
    <w:rsid w:val="002B034C"/>
    <w:rsid w:val="002B0C7D"/>
    <w:rsid w:val="002B131E"/>
    <w:rsid w:val="002B6753"/>
    <w:rsid w:val="002C1F0B"/>
    <w:rsid w:val="002D1596"/>
    <w:rsid w:val="002D48A1"/>
    <w:rsid w:val="002D749C"/>
    <w:rsid w:val="002E16AD"/>
    <w:rsid w:val="002E2C3A"/>
    <w:rsid w:val="002E708F"/>
    <w:rsid w:val="002F1F46"/>
    <w:rsid w:val="002F25A5"/>
    <w:rsid w:val="0030125E"/>
    <w:rsid w:val="00301F6E"/>
    <w:rsid w:val="00303296"/>
    <w:rsid w:val="00305B02"/>
    <w:rsid w:val="003076B9"/>
    <w:rsid w:val="00314AED"/>
    <w:rsid w:val="0031640C"/>
    <w:rsid w:val="00316ED1"/>
    <w:rsid w:val="003204C6"/>
    <w:rsid w:val="00322759"/>
    <w:rsid w:val="00325CFF"/>
    <w:rsid w:val="00325EBA"/>
    <w:rsid w:val="00326332"/>
    <w:rsid w:val="00327995"/>
    <w:rsid w:val="00330768"/>
    <w:rsid w:val="00331569"/>
    <w:rsid w:val="00331D12"/>
    <w:rsid w:val="00332E27"/>
    <w:rsid w:val="003366DF"/>
    <w:rsid w:val="00336DC9"/>
    <w:rsid w:val="003373BC"/>
    <w:rsid w:val="0033768D"/>
    <w:rsid w:val="00347F25"/>
    <w:rsid w:val="0035266D"/>
    <w:rsid w:val="003611DE"/>
    <w:rsid w:val="00374040"/>
    <w:rsid w:val="00376425"/>
    <w:rsid w:val="00380342"/>
    <w:rsid w:val="003826C1"/>
    <w:rsid w:val="00387221"/>
    <w:rsid w:val="003915D1"/>
    <w:rsid w:val="003A0156"/>
    <w:rsid w:val="003A1621"/>
    <w:rsid w:val="003A1EFE"/>
    <w:rsid w:val="003A5565"/>
    <w:rsid w:val="003A6634"/>
    <w:rsid w:val="003A7389"/>
    <w:rsid w:val="003B299C"/>
    <w:rsid w:val="003C2A7C"/>
    <w:rsid w:val="003C488D"/>
    <w:rsid w:val="003C6400"/>
    <w:rsid w:val="003D1008"/>
    <w:rsid w:val="003D1028"/>
    <w:rsid w:val="003D26A3"/>
    <w:rsid w:val="003D2E1F"/>
    <w:rsid w:val="003D64C1"/>
    <w:rsid w:val="003E42D2"/>
    <w:rsid w:val="003F4D09"/>
    <w:rsid w:val="003F6629"/>
    <w:rsid w:val="003F7174"/>
    <w:rsid w:val="003F7F4F"/>
    <w:rsid w:val="0040636C"/>
    <w:rsid w:val="00406B86"/>
    <w:rsid w:val="00406DB5"/>
    <w:rsid w:val="00407F09"/>
    <w:rsid w:val="00412474"/>
    <w:rsid w:val="00415713"/>
    <w:rsid w:val="004163AD"/>
    <w:rsid w:val="004230C4"/>
    <w:rsid w:val="00425CF7"/>
    <w:rsid w:val="00430FD1"/>
    <w:rsid w:val="0043294E"/>
    <w:rsid w:val="00432EE2"/>
    <w:rsid w:val="00445F32"/>
    <w:rsid w:val="00450B3F"/>
    <w:rsid w:val="004541DB"/>
    <w:rsid w:val="00457453"/>
    <w:rsid w:val="0046426B"/>
    <w:rsid w:val="0046606D"/>
    <w:rsid w:val="00471ECD"/>
    <w:rsid w:val="00482DE2"/>
    <w:rsid w:val="00484764"/>
    <w:rsid w:val="00490637"/>
    <w:rsid w:val="004A1EA9"/>
    <w:rsid w:val="004A3BD9"/>
    <w:rsid w:val="004A3C77"/>
    <w:rsid w:val="004A5D77"/>
    <w:rsid w:val="004A6253"/>
    <w:rsid w:val="004B047B"/>
    <w:rsid w:val="004B4A98"/>
    <w:rsid w:val="004B4CDE"/>
    <w:rsid w:val="004C551D"/>
    <w:rsid w:val="004D6547"/>
    <w:rsid w:val="004E136D"/>
    <w:rsid w:val="004E2428"/>
    <w:rsid w:val="004E436B"/>
    <w:rsid w:val="004E47BC"/>
    <w:rsid w:val="004F26BA"/>
    <w:rsid w:val="004F5F2E"/>
    <w:rsid w:val="004F709C"/>
    <w:rsid w:val="004F71FB"/>
    <w:rsid w:val="00503341"/>
    <w:rsid w:val="0050495C"/>
    <w:rsid w:val="00513FFA"/>
    <w:rsid w:val="0051524C"/>
    <w:rsid w:val="00521078"/>
    <w:rsid w:val="005227C1"/>
    <w:rsid w:val="0052443D"/>
    <w:rsid w:val="0052486D"/>
    <w:rsid w:val="005304BA"/>
    <w:rsid w:val="0053369A"/>
    <w:rsid w:val="00533E1D"/>
    <w:rsid w:val="005344CC"/>
    <w:rsid w:val="005413F7"/>
    <w:rsid w:val="00541734"/>
    <w:rsid w:val="00541899"/>
    <w:rsid w:val="00545D4F"/>
    <w:rsid w:val="005508FD"/>
    <w:rsid w:val="00556D97"/>
    <w:rsid w:val="00557182"/>
    <w:rsid w:val="005618D0"/>
    <w:rsid w:val="00561BCB"/>
    <w:rsid w:val="00567923"/>
    <w:rsid w:val="00572094"/>
    <w:rsid w:val="0057221D"/>
    <w:rsid w:val="00576BC0"/>
    <w:rsid w:val="0058012B"/>
    <w:rsid w:val="00583646"/>
    <w:rsid w:val="00584123"/>
    <w:rsid w:val="005841E6"/>
    <w:rsid w:val="0058704A"/>
    <w:rsid w:val="00595584"/>
    <w:rsid w:val="00597F77"/>
    <w:rsid w:val="005A08B7"/>
    <w:rsid w:val="005A0A26"/>
    <w:rsid w:val="005A1A8D"/>
    <w:rsid w:val="005A2774"/>
    <w:rsid w:val="005A3AF1"/>
    <w:rsid w:val="005A5B39"/>
    <w:rsid w:val="005B15AB"/>
    <w:rsid w:val="005B3F7F"/>
    <w:rsid w:val="005B4FD9"/>
    <w:rsid w:val="005B519A"/>
    <w:rsid w:val="005B5532"/>
    <w:rsid w:val="005B568E"/>
    <w:rsid w:val="005B7B3E"/>
    <w:rsid w:val="005C126A"/>
    <w:rsid w:val="005C5CA8"/>
    <w:rsid w:val="005C7F4F"/>
    <w:rsid w:val="005D2037"/>
    <w:rsid w:val="005D3C5F"/>
    <w:rsid w:val="005E061E"/>
    <w:rsid w:val="005E133C"/>
    <w:rsid w:val="005E6569"/>
    <w:rsid w:val="005E6D0F"/>
    <w:rsid w:val="005E7056"/>
    <w:rsid w:val="005F41DD"/>
    <w:rsid w:val="005F44AB"/>
    <w:rsid w:val="005F727F"/>
    <w:rsid w:val="006040B8"/>
    <w:rsid w:val="00606CB1"/>
    <w:rsid w:val="00606CE5"/>
    <w:rsid w:val="0061265F"/>
    <w:rsid w:val="00614B48"/>
    <w:rsid w:val="00617AFA"/>
    <w:rsid w:val="0062116F"/>
    <w:rsid w:val="0062166D"/>
    <w:rsid w:val="00627A94"/>
    <w:rsid w:val="00630924"/>
    <w:rsid w:val="00631AF8"/>
    <w:rsid w:val="006357C5"/>
    <w:rsid w:val="0063672B"/>
    <w:rsid w:val="00641A05"/>
    <w:rsid w:val="006448A0"/>
    <w:rsid w:val="00647348"/>
    <w:rsid w:val="00651181"/>
    <w:rsid w:val="00663110"/>
    <w:rsid w:val="006632EF"/>
    <w:rsid w:val="006677D9"/>
    <w:rsid w:val="0067148A"/>
    <w:rsid w:val="00674041"/>
    <w:rsid w:val="00676FC0"/>
    <w:rsid w:val="00686AD3"/>
    <w:rsid w:val="00690E48"/>
    <w:rsid w:val="006A702F"/>
    <w:rsid w:val="006B2D65"/>
    <w:rsid w:val="006B66F9"/>
    <w:rsid w:val="006B73DD"/>
    <w:rsid w:val="006B79E4"/>
    <w:rsid w:val="006B7A79"/>
    <w:rsid w:val="006B7FF8"/>
    <w:rsid w:val="006C3E92"/>
    <w:rsid w:val="006C69AD"/>
    <w:rsid w:val="006C6C61"/>
    <w:rsid w:val="006C722E"/>
    <w:rsid w:val="006D01A9"/>
    <w:rsid w:val="006E1302"/>
    <w:rsid w:val="006E5355"/>
    <w:rsid w:val="006F037B"/>
    <w:rsid w:val="006F13B7"/>
    <w:rsid w:val="006F2843"/>
    <w:rsid w:val="006F58B4"/>
    <w:rsid w:val="006F6415"/>
    <w:rsid w:val="006F73FF"/>
    <w:rsid w:val="00702D06"/>
    <w:rsid w:val="00704490"/>
    <w:rsid w:val="007072B7"/>
    <w:rsid w:val="00707AA9"/>
    <w:rsid w:val="00710CBB"/>
    <w:rsid w:val="00711519"/>
    <w:rsid w:val="00716184"/>
    <w:rsid w:val="00716C59"/>
    <w:rsid w:val="00720B72"/>
    <w:rsid w:val="00722537"/>
    <w:rsid w:val="007226F8"/>
    <w:rsid w:val="00724FEB"/>
    <w:rsid w:val="00725905"/>
    <w:rsid w:val="007325B8"/>
    <w:rsid w:val="0073377D"/>
    <w:rsid w:val="00733DD9"/>
    <w:rsid w:val="00733EA7"/>
    <w:rsid w:val="007377A4"/>
    <w:rsid w:val="007415C6"/>
    <w:rsid w:val="00741928"/>
    <w:rsid w:val="00742BAF"/>
    <w:rsid w:val="00743A06"/>
    <w:rsid w:val="0074583C"/>
    <w:rsid w:val="00746239"/>
    <w:rsid w:val="00746E46"/>
    <w:rsid w:val="007514EA"/>
    <w:rsid w:val="00752B85"/>
    <w:rsid w:val="00753C4D"/>
    <w:rsid w:val="00754BBA"/>
    <w:rsid w:val="00754C7F"/>
    <w:rsid w:val="00766E17"/>
    <w:rsid w:val="007740CA"/>
    <w:rsid w:val="007743C6"/>
    <w:rsid w:val="007818A8"/>
    <w:rsid w:val="0078524F"/>
    <w:rsid w:val="00785C61"/>
    <w:rsid w:val="0078698B"/>
    <w:rsid w:val="007871D4"/>
    <w:rsid w:val="00794EE4"/>
    <w:rsid w:val="007A2A4C"/>
    <w:rsid w:val="007A670B"/>
    <w:rsid w:val="007B0DAA"/>
    <w:rsid w:val="007B278C"/>
    <w:rsid w:val="007C5504"/>
    <w:rsid w:val="007D3485"/>
    <w:rsid w:val="007D5017"/>
    <w:rsid w:val="007D6312"/>
    <w:rsid w:val="007E3AC2"/>
    <w:rsid w:val="007E5F50"/>
    <w:rsid w:val="007F3340"/>
    <w:rsid w:val="007F76D0"/>
    <w:rsid w:val="008019D9"/>
    <w:rsid w:val="00803100"/>
    <w:rsid w:val="00805CF8"/>
    <w:rsid w:val="00806195"/>
    <w:rsid w:val="00811A12"/>
    <w:rsid w:val="008124C0"/>
    <w:rsid w:val="00820D3A"/>
    <w:rsid w:val="00830109"/>
    <w:rsid w:val="008314CA"/>
    <w:rsid w:val="00831E54"/>
    <w:rsid w:val="00834D44"/>
    <w:rsid w:val="00835677"/>
    <w:rsid w:val="00845A67"/>
    <w:rsid w:val="00847BDB"/>
    <w:rsid w:val="0085174A"/>
    <w:rsid w:val="008557FA"/>
    <w:rsid w:val="008572FF"/>
    <w:rsid w:val="00861564"/>
    <w:rsid w:val="00862A25"/>
    <w:rsid w:val="00871236"/>
    <w:rsid w:val="00883919"/>
    <w:rsid w:val="0088472C"/>
    <w:rsid w:val="00886D62"/>
    <w:rsid w:val="00886F4C"/>
    <w:rsid w:val="00887F40"/>
    <w:rsid w:val="00892D20"/>
    <w:rsid w:val="008A77C4"/>
    <w:rsid w:val="008B3046"/>
    <w:rsid w:val="008C1858"/>
    <w:rsid w:val="008C1D2E"/>
    <w:rsid w:val="008C469B"/>
    <w:rsid w:val="008C46BC"/>
    <w:rsid w:val="008E059F"/>
    <w:rsid w:val="008E484E"/>
    <w:rsid w:val="008F0BF0"/>
    <w:rsid w:val="008F2BDD"/>
    <w:rsid w:val="008F3A22"/>
    <w:rsid w:val="008F4CD1"/>
    <w:rsid w:val="0090358E"/>
    <w:rsid w:val="009051CB"/>
    <w:rsid w:val="00905CCB"/>
    <w:rsid w:val="00906C9A"/>
    <w:rsid w:val="009070BB"/>
    <w:rsid w:val="00907319"/>
    <w:rsid w:val="00907CFF"/>
    <w:rsid w:val="00910322"/>
    <w:rsid w:val="009118CA"/>
    <w:rsid w:val="009232F9"/>
    <w:rsid w:val="0092351D"/>
    <w:rsid w:val="00923EAF"/>
    <w:rsid w:val="00925BDC"/>
    <w:rsid w:val="0093743D"/>
    <w:rsid w:val="00945193"/>
    <w:rsid w:val="00945967"/>
    <w:rsid w:val="00956842"/>
    <w:rsid w:val="0096169D"/>
    <w:rsid w:val="009715C3"/>
    <w:rsid w:val="00973C9D"/>
    <w:rsid w:val="009749E6"/>
    <w:rsid w:val="00977923"/>
    <w:rsid w:val="009874B2"/>
    <w:rsid w:val="00993482"/>
    <w:rsid w:val="009943B9"/>
    <w:rsid w:val="009A20B8"/>
    <w:rsid w:val="009A55C5"/>
    <w:rsid w:val="009A6445"/>
    <w:rsid w:val="009B309A"/>
    <w:rsid w:val="009B47A2"/>
    <w:rsid w:val="009B7D77"/>
    <w:rsid w:val="009C1A5F"/>
    <w:rsid w:val="009C36E3"/>
    <w:rsid w:val="009D1F82"/>
    <w:rsid w:val="009D3001"/>
    <w:rsid w:val="009D751B"/>
    <w:rsid w:val="009E04EC"/>
    <w:rsid w:val="009E180A"/>
    <w:rsid w:val="009E5AF0"/>
    <w:rsid w:val="009E6C7B"/>
    <w:rsid w:val="009F2574"/>
    <w:rsid w:val="009F3D1E"/>
    <w:rsid w:val="009F4731"/>
    <w:rsid w:val="009F4946"/>
    <w:rsid w:val="00A03A52"/>
    <w:rsid w:val="00A121F0"/>
    <w:rsid w:val="00A12539"/>
    <w:rsid w:val="00A14536"/>
    <w:rsid w:val="00A206FF"/>
    <w:rsid w:val="00A23E75"/>
    <w:rsid w:val="00A2466A"/>
    <w:rsid w:val="00A25404"/>
    <w:rsid w:val="00A40629"/>
    <w:rsid w:val="00A42952"/>
    <w:rsid w:val="00A42DFC"/>
    <w:rsid w:val="00A467F1"/>
    <w:rsid w:val="00A52588"/>
    <w:rsid w:val="00A552A0"/>
    <w:rsid w:val="00A56E64"/>
    <w:rsid w:val="00A71209"/>
    <w:rsid w:val="00A7757D"/>
    <w:rsid w:val="00A77E3C"/>
    <w:rsid w:val="00A809F9"/>
    <w:rsid w:val="00A80F67"/>
    <w:rsid w:val="00A865D1"/>
    <w:rsid w:val="00A86944"/>
    <w:rsid w:val="00A905E8"/>
    <w:rsid w:val="00A92E19"/>
    <w:rsid w:val="00AA093B"/>
    <w:rsid w:val="00AA5EC3"/>
    <w:rsid w:val="00AA6105"/>
    <w:rsid w:val="00AA74F3"/>
    <w:rsid w:val="00AB1988"/>
    <w:rsid w:val="00AB350D"/>
    <w:rsid w:val="00AC2081"/>
    <w:rsid w:val="00AC6A1E"/>
    <w:rsid w:val="00AC6BE1"/>
    <w:rsid w:val="00AD498E"/>
    <w:rsid w:val="00AD513A"/>
    <w:rsid w:val="00AE1AB1"/>
    <w:rsid w:val="00AE29BD"/>
    <w:rsid w:val="00AE3D55"/>
    <w:rsid w:val="00AE42FA"/>
    <w:rsid w:val="00AE6FAC"/>
    <w:rsid w:val="00AE748F"/>
    <w:rsid w:val="00AF1F0D"/>
    <w:rsid w:val="00AF5876"/>
    <w:rsid w:val="00AF5D52"/>
    <w:rsid w:val="00AF75B2"/>
    <w:rsid w:val="00B05423"/>
    <w:rsid w:val="00B07AE9"/>
    <w:rsid w:val="00B101A2"/>
    <w:rsid w:val="00B11F98"/>
    <w:rsid w:val="00B15884"/>
    <w:rsid w:val="00B2222B"/>
    <w:rsid w:val="00B267ED"/>
    <w:rsid w:val="00B3307E"/>
    <w:rsid w:val="00B35C41"/>
    <w:rsid w:val="00B36A61"/>
    <w:rsid w:val="00B55C19"/>
    <w:rsid w:val="00B56C06"/>
    <w:rsid w:val="00B6064C"/>
    <w:rsid w:val="00B6074A"/>
    <w:rsid w:val="00B664AD"/>
    <w:rsid w:val="00B67C35"/>
    <w:rsid w:val="00B71AB9"/>
    <w:rsid w:val="00B741FE"/>
    <w:rsid w:val="00B81600"/>
    <w:rsid w:val="00B90352"/>
    <w:rsid w:val="00B90E78"/>
    <w:rsid w:val="00B922B8"/>
    <w:rsid w:val="00B96146"/>
    <w:rsid w:val="00B9754F"/>
    <w:rsid w:val="00BA1E89"/>
    <w:rsid w:val="00BA2939"/>
    <w:rsid w:val="00BA46A7"/>
    <w:rsid w:val="00BA4FF3"/>
    <w:rsid w:val="00BA5F14"/>
    <w:rsid w:val="00BB1ACB"/>
    <w:rsid w:val="00BB2DE8"/>
    <w:rsid w:val="00BB3357"/>
    <w:rsid w:val="00BB4111"/>
    <w:rsid w:val="00BB508F"/>
    <w:rsid w:val="00BC4FAD"/>
    <w:rsid w:val="00BC61C1"/>
    <w:rsid w:val="00BD4968"/>
    <w:rsid w:val="00BD6756"/>
    <w:rsid w:val="00BE0054"/>
    <w:rsid w:val="00BE2F38"/>
    <w:rsid w:val="00BE3850"/>
    <w:rsid w:val="00BE7E3A"/>
    <w:rsid w:val="00BF074C"/>
    <w:rsid w:val="00BF0C9B"/>
    <w:rsid w:val="00BF4979"/>
    <w:rsid w:val="00BF4B1E"/>
    <w:rsid w:val="00BF5650"/>
    <w:rsid w:val="00C001C7"/>
    <w:rsid w:val="00C00853"/>
    <w:rsid w:val="00C20471"/>
    <w:rsid w:val="00C21864"/>
    <w:rsid w:val="00C22ABE"/>
    <w:rsid w:val="00C23EFB"/>
    <w:rsid w:val="00C32286"/>
    <w:rsid w:val="00C3296A"/>
    <w:rsid w:val="00C353A9"/>
    <w:rsid w:val="00C40CA1"/>
    <w:rsid w:val="00C419AE"/>
    <w:rsid w:val="00C41CDB"/>
    <w:rsid w:val="00C42879"/>
    <w:rsid w:val="00C44820"/>
    <w:rsid w:val="00C4709C"/>
    <w:rsid w:val="00C517C9"/>
    <w:rsid w:val="00C56880"/>
    <w:rsid w:val="00C6554E"/>
    <w:rsid w:val="00C679AC"/>
    <w:rsid w:val="00C706DF"/>
    <w:rsid w:val="00C711D1"/>
    <w:rsid w:val="00C76415"/>
    <w:rsid w:val="00C8180F"/>
    <w:rsid w:val="00C83CB3"/>
    <w:rsid w:val="00C84D9C"/>
    <w:rsid w:val="00C91EF9"/>
    <w:rsid w:val="00C967A0"/>
    <w:rsid w:val="00CA3F59"/>
    <w:rsid w:val="00CA6A6B"/>
    <w:rsid w:val="00CB275A"/>
    <w:rsid w:val="00CB4C6D"/>
    <w:rsid w:val="00CC5C21"/>
    <w:rsid w:val="00CC6FE5"/>
    <w:rsid w:val="00CD1334"/>
    <w:rsid w:val="00CD13FC"/>
    <w:rsid w:val="00CD35AF"/>
    <w:rsid w:val="00CD3E70"/>
    <w:rsid w:val="00CD4352"/>
    <w:rsid w:val="00CD5AE0"/>
    <w:rsid w:val="00CE059B"/>
    <w:rsid w:val="00CE3FFD"/>
    <w:rsid w:val="00CE72B9"/>
    <w:rsid w:val="00CE7C23"/>
    <w:rsid w:val="00CF17CC"/>
    <w:rsid w:val="00CF2264"/>
    <w:rsid w:val="00CF3682"/>
    <w:rsid w:val="00CF38BE"/>
    <w:rsid w:val="00CF4ADE"/>
    <w:rsid w:val="00CF7A22"/>
    <w:rsid w:val="00D003D3"/>
    <w:rsid w:val="00D01515"/>
    <w:rsid w:val="00D02822"/>
    <w:rsid w:val="00D03644"/>
    <w:rsid w:val="00D0618F"/>
    <w:rsid w:val="00D12E99"/>
    <w:rsid w:val="00D152D5"/>
    <w:rsid w:val="00D17836"/>
    <w:rsid w:val="00D17861"/>
    <w:rsid w:val="00D26480"/>
    <w:rsid w:val="00D300CD"/>
    <w:rsid w:val="00D3138F"/>
    <w:rsid w:val="00D33658"/>
    <w:rsid w:val="00D45B78"/>
    <w:rsid w:val="00D51BA9"/>
    <w:rsid w:val="00D52438"/>
    <w:rsid w:val="00D53DD9"/>
    <w:rsid w:val="00D543DB"/>
    <w:rsid w:val="00D614DD"/>
    <w:rsid w:val="00D6345B"/>
    <w:rsid w:val="00D66B94"/>
    <w:rsid w:val="00D751C8"/>
    <w:rsid w:val="00D7702D"/>
    <w:rsid w:val="00D77B01"/>
    <w:rsid w:val="00D87E39"/>
    <w:rsid w:val="00D92F2C"/>
    <w:rsid w:val="00D941D4"/>
    <w:rsid w:val="00D96E51"/>
    <w:rsid w:val="00D975C6"/>
    <w:rsid w:val="00DA1BF4"/>
    <w:rsid w:val="00DA1CDC"/>
    <w:rsid w:val="00DA2989"/>
    <w:rsid w:val="00DB0198"/>
    <w:rsid w:val="00DB1F29"/>
    <w:rsid w:val="00DB2CE3"/>
    <w:rsid w:val="00DB3315"/>
    <w:rsid w:val="00DB337E"/>
    <w:rsid w:val="00DB52B8"/>
    <w:rsid w:val="00DC0AA1"/>
    <w:rsid w:val="00DC1BF1"/>
    <w:rsid w:val="00DC470E"/>
    <w:rsid w:val="00DC497D"/>
    <w:rsid w:val="00DC6482"/>
    <w:rsid w:val="00DC78F6"/>
    <w:rsid w:val="00DD30B4"/>
    <w:rsid w:val="00DD71D6"/>
    <w:rsid w:val="00DE2592"/>
    <w:rsid w:val="00DE507D"/>
    <w:rsid w:val="00DF0140"/>
    <w:rsid w:val="00DF2E3B"/>
    <w:rsid w:val="00DF70AC"/>
    <w:rsid w:val="00DF7409"/>
    <w:rsid w:val="00DF7EF1"/>
    <w:rsid w:val="00E007CE"/>
    <w:rsid w:val="00E06291"/>
    <w:rsid w:val="00E12019"/>
    <w:rsid w:val="00E15B24"/>
    <w:rsid w:val="00E16163"/>
    <w:rsid w:val="00E20DC7"/>
    <w:rsid w:val="00E2160C"/>
    <w:rsid w:val="00E23D18"/>
    <w:rsid w:val="00E24AC5"/>
    <w:rsid w:val="00E305EF"/>
    <w:rsid w:val="00E31DA6"/>
    <w:rsid w:val="00E349B1"/>
    <w:rsid w:val="00E36A4F"/>
    <w:rsid w:val="00E409C8"/>
    <w:rsid w:val="00E41A44"/>
    <w:rsid w:val="00E4412C"/>
    <w:rsid w:val="00E456CC"/>
    <w:rsid w:val="00E52B1B"/>
    <w:rsid w:val="00E56502"/>
    <w:rsid w:val="00E601B1"/>
    <w:rsid w:val="00E61D0A"/>
    <w:rsid w:val="00E6757E"/>
    <w:rsid w:val="00E734D7"/>
    <w:rsid w:val="00E81738"/>
    <w:rsid w:val="00E81960"/>
    <w:rsid w:val="00E865BE"/>
    <w:rsid w:val="00E86FD0"/>
    <w:rsid w:val="00E95C83"/>
    <w:rsid w:val="00E962DE"/>
    <w:rsid w:val="00EA3363"/>
    <w:rsid w:val="00EA4FA6"/>
    <w:rsid w:val="00EA4FF4"/>
    <w:rsid w:val="00EA7589"/>
    <w:rsid w:val="00EB61C5"/>
    <w:rsid w:val="00EB6B5F"/>
    <w:rsid w:val="00EC3212"/>
    <w:rsid w:val="00EC4600"/>
    <w:rsid w:val="00EE1759"/>
    <w:rsid w:val="00EE6215"/>
    <w:rsid w:val="00EE6B00"/>
    <w:rsid w:val="00EF0580"/>
    <w:rsid w:val="00EF335C"/>
    <w:rsid w:val="00F00F16"/>
    <w:rsid w:val="00F0351C"/>
    <w:rsid w:val="00F0744B"/>
    <w:rsid w:val="00F12FCA"/>
    <w:rsid w:val="00F13019"/>
    <w:rsid w:val="00F23E8E"/>
    <w:rsid w:val="00F26905"/>
    <w:rsid w:val="00F31933"/>
    <w:rsid w:val="00F33D38"/>
    <w:rsid w:val="00F33EE5"/>
    <w:rsid w:val="00F35EF6"/>
    <w:rsid w:val="00F360BB"/>
    <w:rsid w:val="00F36C90"/>
    <w:rsid w:val="00F374DF"/>
    <w:rsid w:val="00F42EFB"/>
    <w:rsid w:val="00F471C1"/>
    <w:rsid w:val="00F52F6E"/>
    <w:rsid w:val="00F63D27"/>
    <w:rsid w:val="00F722CF"/>
    <w:rsid w:val="00F7387B"/>
    <w:rsid w:val="00F75A63"/>
    <w:rsid w:val="00F766B6"/>
    <w:rsid w:val="00F80654"/>
    <w:rsid w:val="00F85ACB"/>
    <w:rsid w:val="00F92183"/>
    <w:rsid w:val="00F940A4"/>
    <w:rsid w:val="00FA05AD"/>
    <w:rsid w:val="00FA0F54"/>
    <w:rsid w:val="00FA2CB4"/>
    <w:rsid w:val="00FA7590"/>
    <w:rsid w:val="00FB7180"/>
    <w:rsid w:val="00FC1696"/>
    <w:rsid w:val="00FC1892"/>
    <w:rsid w:val="00FC1CE6"/>
    <w:rsid w:val="00FD0E29"/>
    <w:rsid w:val="00FD2403"/>
    <w:rsid w:val="00FD298A"/>
    <w:rsid w:val="00FD5B31"/>
    <w:rsid w:val="00FE1783"/>
    <w:rsid w:val="00FE4C53"/>
    <w:rsid w:val="00FE51D3"/>
    <w:rsid w:val="00FE67DB"/>
    <w:rsid w:val="00FE7DF0"/>
    <w:rsid w:val="00FF0549"/>
    <w:rsid w:val="00FF3C15"/>
    <w:rsid w:val="00FF4F59"/>
    <w:rsid w:val="00FF6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4EB21"/>
  <w15:chartTrackingRefBased/>
  <w15:docId w15:val="{0A61B7F2-0560-484C-B7E2-2C2D86A4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E33"/>
    <w:pPr>
      <w:spacing w:line="240" w:lineRule="auto"/>
    </w:pPr>
    <w:rPr>
      <w:rFonts w:ascii="Arial" w:hAnsi="Arial" w:cstheme="majorBidi"/>
      <w:color w:val="000000" w:themeColor="text1"/>
      <w:kern w:val="0"/>
      <w:sz w:val="24"/>
      <w:szCs w:val="32"/>
      <w14:ligatures w14:val="none"/>
    </w:rPr>
  </w:style>
  <w:style w:type="paragraph" w:styleId="Heading1">
    <w:name w:val="heading 1"/>
    <w:basedOn w:val="Normal"/>
    <w:next w:val="Normal"/>
    <w:link w:val="Heading1Char"/>
    <w:qFormat/>
    <w:rsid w:val="00D52438"/>
    <w:pPr>
      <w:keepNext/>
      <w:keepLines/>
      <w:numPr>
        <w:numId w:val="1"/>
      </w:numPr>
      <w:spacing w:before="240" w:after="120"/>
      <w:ind w:left="357" w:hanging="357"/>
      <w:outlineLvl w:val="0"/>
    </w:pPr>
    <w:rPr>
      <w:rFonts w:eastAsiaTheme="majorEastAsia"/>
      <w:b/>
      <w:color w:val="0062AE"/>
      <w:sz w:val="28"/>
      <w:lang w:eastAsia="en-GB"/>
    </w:rPr>
  </w:style>
  <w:style w:type="paragraph" w:styleId="Heading2">
    <w:name w:val="heading 2"/>
    <w:basedOn w:val="Normal"/>
    <w:next w:val="Normal"/>
    <w:link w:val="Heading2Char"/>
    <w:autoRedefine/>
    <w:unhideWhenUsed/>
    <w:qFormat/>
    <w:rsid w:val="00CE059B"/>
    <w:pPr>
      <w:keepNext/>
      <w:keepLines/>
      <w:numPr>
        <w:ilvl w:val="1"/>
        <w:numId w:val="1"/>
      </w:numPr>
      <w:tabs>
        <w:tab w:val="left" w:pos="567"/>
      </w:tabs>
      <w:spacing w:after="120"/>
      <w:ind w:left="113" w:firstLine="0"/>
      <w:outlineLvl w:val="1"/>
    </w:pPr>
    <w:rPr>
      <w:rFonts w:eastAsia="Times New Roman" w:cs="Times New Roman"/>
      <w:b/>
      <w:color w:val="319B31"/>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438"/>
    <w:rPr>
      <w:rFonts w:ascii="Arial" w:eastAsiaTheme="majorEastAsia" w:hAnsi="Arial" w:cstheme="majorBidi"/>
      <w:b/>
      <w:color w:val="0062AE"/>
      <w:kern w:val="0"/>
      <w:sz w:val="28"/>
      <w:szCs w:val="32"/>
      <w:lang w:eastAsia="en-GB"/>
      <w14:ligatures w14:val="none"/>
    </w:rPr>
  </w:style>
  <w:style w:type="character" w:customStyle="1" w:styleId="Heading2Char">
    <w:name w:val="Heading 2 Char"/>
    <w:basedOn w:val="DefaultParagraphFont"/>
    <w:link w:val="Heading2"/>
    <w:rsid w:val="00CE059B"/>
    <w:rPr>
      <w:rFonts w:ascii="Arial" w:eastAsia="Times New Roman" w:hAnsi="Arial" w:cs="Times New Roman"/>
      <w:b/>
      <w:color w:val="319B31"/>
      <w:kern w:val="0"/>
      <w:sz w:val="24"/>
      <w:szCs w:val="24"/>
      <w:lang w:eastAsia="en-GB"/>
      <w14:ligatures w14:val="none"/>
    </w:rPr>
  </w:style>
  <w:style w:type="paragraph" w:styleId="Footer">
    <w:name w:val="footer"/>
    <w:basedOn w:val="Normal"/>
    <w:link w:val="FooterChar"/>
    <w:uiPriority w:val="99"/>
    <w:unhideWhenUsed/>
    <w:qFormat/>
    <w:rsid w:val="00DC0AA1"/>
    <w:pPr>
      <w:tabs>
        <w:tab w:val="center" w:pos="4513"/>
        <w:tab w:val="right" w:pos="9026"/>
      </w:tabs>
      <w:spacing w:after="0"/>
    </w:pPr>
    <w:rPr>
      <w:b/>
      <w:sz w:val="16"/>
    </w:rPr>
  </w:style>
  <w:style w:type="character" w:customStyle="1" w:styleId="FooterChar">
    <w:name w:val="Footer Char"/>
    <w:basedOn w:val="DefaultParagraphFont"/>
    <w:link w:val="Footer"/>
    <w:uiPriority w:val="99"/>
    <w:rsid w:val="00DC0AA1"/>
    <w:rPr>
      <w:rFonts w:ascii="Arial" w:hAnsi="Arial" w:cstheme="majorBidi"/>
      <w:b/>
      <w:color w:val="000000" w:themeColor="text1"/>
      <w:kern w:val="0"/>
      <w:sz w:val="16"/>
      <w:szCs w:val="32"/>
      <w14:ligatures w14:val="none"/>
    </w:rPr>
  </w:style>
  <w:style w:type="paragraph" w:styleId="Title">
    <w:name w:val="Title"/>
    <w:basedOn w:val="Normal"/>
    <w:next w:val="Normal"/>
    <w:link w:val="TitleChar"/>
    <w:qFormat/>
    <w:rsid w:val="00DC0AA1"/>
    <w:pPr>
      <w:spacing w:after="0"/>
      <w:contextualSpacing/>
    </w:pPr>
    <w:rPr>
      <w:rFonts w:eastAsiaTheme="majorEastAsia"/>
      <w:b/>
      <w:color w:val="0062AE"/>
      <w:spacing w:val="-10"/>
      <w:kern w:val="28"/>
      <w:sz w:val="56"/>
      <w:szCs w:val="56"/>
    </w:rPr>
  </w:style>
  <w:style w:type="character" w:customStyle="1" w:styleId="TitleChar">
    <w:name w:val="Title Char"/>
    <w:basedOn w:val="DefaultParagraphFont"/>
    <w:link w:val="Title"/>
    <w:rsid w:val="00DC0AA1"/>
    <w:rPr>
      <w:rFonts w:ascii="Arial" w:eastAsiaTheme="majorEastAsia" w:hAnsi="Arial" w:cstheme="majorBidi"/>
      <w:b/>
      <w:color w:val="0062AE"/>
      <w:spacing w:val="-10"/>
      <w:kern w:val="28"/>
      <w:sz w:val="56"/>
      <w:szCs w:val="56"/>
      <w14:ligatures w14:val="none"/>
    </w:rPr>
  </w:style>
  <w:style w:type="table" w:styleId="TableGrid">
    <w:name w:val="Table Grid"/>
    <w:basedOn w:val="TableNormal"/>
    <w:uiPriority w:val="39"/>
    <w:rsid w:val="00DC0AA1"/>
    <w:pPr>
      <w:spacing w:after="0" w:line="240" w:lineRule="auto"/>
    </w:pPr>
    <w:rPr>
      <w:rFonts w:ascii="Calibri" w:eastAsia="Times New Roman" w:hAnsi="Calibri" w:cs="Times New Roman"/>
      <w:color w:val="000000" w:themeColor="text1"/>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OCHeading">
    <w:name w:val="TOC Heading"/>
    <w:basedOn w:val="Heading1"/>
    <w:next w:val="Normal"/>
    <w:uiPriority w:val="39"/>
    <w:unhideWhenUsed/>
    <w:qFormat/>
    <w:rsid w:val="00DC0AA1"/>
    <w:pPr>
      <w:numPr>
        <w:numId w:val="0"/>
      </w:numPr>
      <w:spacing w:after="0" w:line="259" w:lineRule="auto"/>
      <w:outlineLvl w:val="9"/>
    </w:pPr>
    <w:rPr>
      <w:sz w:val="32"/>
      <w:lang w:val="en-US" w:eastAsia="en-US"/>
    </w:rPr>
  </w:style>
  <w:style w:type="paragraph" w:styleId="TOC1">
    <w:name w:val="toc 1"/>
    <w:basedOn w:val="Normal"/>
    <w:next w:val="Normal"/>
    <w:autoRedefine/>
    <w:uiPriority w:val="39"/>
    <w:unhideWhenUsed/>
    <w:qFormat/>
    <w:rsid w:val="00C8180F"/>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qFormat/>
    <w:rsid w:val="00DC0AA1"/>
    <w:pPr>
      <w:tabs>
        <w:tab w:val="left" w:pos="880"/>
        <w:tab w:val="right" w:leader="dot" w:pos="9016"/>
      </w:tabs>
      <w:spacing w:after="100"/>
      <w:ind w:left="220"/>
    </w:pPr>
    <w:rPr>
      <w:rFonts w:cs="Arial"/>
      <w:noProof/>
    </w:rPr>
  </w:style>
  <w:style w:type="character" w:styleId="Hyperlink">
    <w:name w:val="Hyperlink"/>
    <w:basedOn w:val="DefaultParagraphFont"/>
    <w:uiPriority w:val="99"/>
    <w:unhideWhenUsed/>
    <w:rsid w:val="00DC0AA1"/>
    <w:rPr>
      <w:rFonts w:asciiTheme="minorHAnsi" w:hAnsiTheme="minorHAnsi"/>
      <w:color w:val="0563C1" w:themeColor="hyperlink"/>
      <w:sz w:val="22"/>
      <w:u w:val="single"/>
    </w:rPr>
  </w:style>
  <w:style w:type="paragraph" w:customStyle="1" w:styleId="DocTitle">
    <w:name w:val="Doc Title"/>
    <w:basedOn w:val="Title"/>
    <w:link w:val="DocTitleChar"/>
    <w:qFormat/>
    <w:rsid w:val="00DC0AA1"/>
    <w:rPr>
      <w:rFonts w:cstheme="minorHAnsi"/>
      <w:color w:val="319B31"/>
    </w:rPr>
  </w:style>
  <w:style w:type="character" w:customStyle="1" w:styleId="DocTitleChar">
    <w:name w:val="Doc Title Char"/>
    <w:basedOn w:val="TitleChar"/>
    <w:link w:val="DocTitle"/>
    <w:rsid w:val="00DC0AA1"/>
    <w:rPr>
      <w:rFonts w:ascii="Arial" w:eastAsiaTheme="majorEastAsia" w:hAnsi="Arial" w:cstheme="minorHAnsi"/>
      <w:b/>
      <w:color w:val="319B31"/>
      <w:spacing w:val="-10"/>
      <w:kern w:val="28"/>
      <w:sz w:val="56"/>
      <w:szCs w:val="56"/>
      <w14:ligatures w14:val="none"/>
    </w:rPr>
  </w:style>
  <w:style w:type="paragraph" w:styleId="ListBullet">
    <w:name w:val="List Bullet"/>
    <w:basedOn w:val="Normal"/>
    <w:link w:val="ListBulletChar"/>
    <w:uiPriority w:val="99"/>
    <w:unhideWhenUsed/>
    <w:qFormat/>
    <w:rsid w:val="00DC0AA1"/>
    <w:pPr>
      <w:numPr>
        <w:numId w:val="2"/>
      </w:numPr>
      <w:contextualSpacing/>
    </w:pPr>
  </w:style>
  <w:style w:type="paragraph" w:customStyle="1" w:styleId="BoldNormal">
    <w:name w:val="Bold Normal"/>
    <w:basedOn w:val="Normal"/>
    <w:link w:val="BoldNormalChar"/>
    <w:autoRedefine/>
    <w:qFormat/>
    <w:rsid w:val="00293FB0"/>
    <w:pPr>
      <w:framePr w:hSpace="180" w:wrap="around" w:vAnchor="text" w:hAnchor="margin" w:xAlign="right" w:y="344"/>
      <w:spacing w:after="0"/>
    </w:pPr>
    <w:rPr>
      <w:b/>
    </w:rPr>
  </w:style>
  <w:style w:type="paragraph" w:customStyle="1" w:styleId="UnderlineNormal">
    <w:name w:val="Underline Normal"/>
    <w:basedOn w:val="Normal"/>
    <w:link w:val="UnderlineNormalChar"/>
    <w:qFormat/>
    <w:rsid w:val="00DC0AA1"/>
    <w:rPr>
      <w:u w:val="single"/>
    </w:rPr>
  </w:style>
  <w:style w:type="character" w:customStyle="1" w:styleId="BoldNormalChar">
    <w:name w:val="Bold Normal Char"/>
    <w:basedOn w:val="DefaultParagraphFont"/>
    <w:link w:val="BoldNormal"/>
    <w:rsid w:val="00293FB0"/>
    <w:rPr>
      <w:rFonts w:ascii="Arial" w:hAnsi="Arial" w:cstheme="majorBidi"/>
      <w:b/>
      <w:color w:val="000000" w:themeColor="text1"/>
      <w:kern w:val="0"/>
      <w:sz w:val="24"/>
      <w:szCs w:val="32"/>
      <w14:ligatures w14:val="none"/>
    </w:rPr>
  </w:style>
  <w:style w:type="character" w:customStyle="1" w:styleId="UnderlineNormalChar">
    <w:name w:val="Underline Normal Char"/>
    <w:basedOn w:val="DefaultParagraphFont"/>
    <w:link w:val="UnderlineNormal"/>
    <w:rsid w:val="00DC0AA1"/>
    <w:rPr>
      <w:rFonts w:ascii="Arial" w:hAnsi="Arial" w:cstheme="majorBidi"/>
      <w:color w:val="000000" w:themeColor="text1"/>
      <w:kern w:val="0"/>
      <w:sz w:val="24"/>
      <w:szCs w:val="32"/>
      <w:u w:val="single"/>
      <w14:ligatures w14:val="none"/>
    </w:rPr>
  </w:style>
  <w:style w:type="paragraph" w:customStyle="1" w:styleId="RomanNumerals">
    <w:name w:val="Roman Numerals"/>
    <w:basedOn w:val="ListBullet"/>
    <w:link w:val="RomanNumeralsChar"/>
    <w:qFormat/>
    <w:rsid w:val="00DC0AA1"/>
    <w:pPr>
      <w:numPr>
        <w:numId w:val="3"/>
      </w:numPr>
    </w:pPr>
  </w:style>
  <w:style w:type="paragraph" w:customStyle="1" w:styleId="abcList">
    <w:name w:val="abc List"/>
    <w:basedOn w:val="RomanNumerals"/>
    <w:link w:val="abcListChar"/>
    <w:qFormat/>
    <w:rsid w:val="00DC0AA1"/>
    <w:pPr>
      <w:numPr>
        <w:numId w:val="4"/>
      </w:numPr>
    </w:pPr>
  </w:style>
  <w:style w:type="character" w:customStyle="1" w:styleId="ListBulletChar">
    <w:name w:val="List Bullet Char"/>
    <w:basedOn w:val="DefaultParagraphFont"/>
    <w:link w:val="ListBullet"/>
    <w:uiPriority w:val="99"/>
    <w:rsid w:val="00DC0AA1"/>
    <w:rPr>
      <w:rFonts w:ascii="Arial" w:hAnsi="Arial" w:cstheme="majorBidi"/>
      <w:color w:val="000000" w:themeColor="text1"/>
      <w:kern w:val="0"/>
      <w:sz w:val="24"/>
      <w:szCs w:val="32"/>
      <w14:ligatures w14:val="none"/>
    </w:rPr>
  </w:style>
  <w:style w:type="character" w:customStyle="1" w:styleId="RomanNumeralsChar">
    <w:name w:val="Roman Numerals Char"/>
    <w:basedOn w:val="ListBulletChar"/>
    <w:link w:val="RomanNumerals"/>
    <w:rsid w:val="00DC0AA1"/>
    <w:rPr>
      <w:rFonts w:ascii="Arial" w:hAnsi="Arial" w:cstheme="majorBidi"/>
      <w:color w:val="000000" w:themeColor="text1"/>
      <w:kern w:val="0"/>
      <w:sz w:val="24"/>
      <w:szCs w:val="32"/>
      <w14:ligatures w14:val="none"/>
    </w:rPr>
  </w:style>
  <w:style w:type="paragraph" w:customStyle="1" w:styleId="NumberList">
    <w:name w:val="(Number) List"/>
    <w:basedOn w:val="abcList"/>
    <w:link w:val="NumberListChar"/>
    <w:qFormat/>
    <w:rsid w:val="00DC0AA1"/>
    <w:pPr>
      <w:numPr>
        <w:numId w:val="5"/>
      </w:numPr>
    </w:pPr>
    <w:rPr>
      <w:lang w:eastAsia="en-GB"/>
    </w:rPr>
  </w:style>
  <w:style w:type="character" w:customStyle="1" w:styleId="abcListChar">
    <w:name w:val="abc List Char"/>
    <w:basedOn w:val="RomanNumeralsChar"/>
    <w:link w:val="abcList"/>
    <w:rsid w:val="00DC0AA1"/>
    <w:rPr>
      <w:rFonts w:ascii="Arial" w:hAnsi="Arial" w:cstheme="majorBidi"/>
      <w:color w:val="000000" w:themeColor="text1"/>
      <w:kern w:val="0"/>
      <w:sz w:val="24"/>
      <w:szCs w:val="32"/>
      <w14:ligatures w14:val="none"/>
    </w:rPr>
  </w:style>
  <w:style w:type="character" w:customStyle="1" w:styleId="NumberListChar">
    <w:name w:val="(Number) List Char"/>
    <w:basedOn w:val="abcListChar"/>
    <w:link w:val="NumberList"/>
    <w:rsid w:val="00DC0AA1"/>
    <w:rPr>
      <w:rFonts w:ascii="Arial" w:hAnsi="Arial" w:cstheme="majorBidi"/>
      <w:color w:val="000000" w:themeColor="text1"/>
      <w:kern w:val="0"/>
      <w:sz w:val="24"/>
      <w:szCs w:val="32"/>
      <w:lang w:eastAsia="en-GB"/>
      <w14:ligatures w14:val="none"/>
    </w:rPr>
  </w:style>
  <w:style w:type="paragraph" w:customStyle="1" w:styleId="CentreNormal">
    <w:name w:val="Centre Normal"/>
    <w:basedOn w:val="Normal"/>
    <w:link w:val="CentreNormalChar"/>
    <w:qFormat/>
    <w:rsid w:val="00DC0AA1"/>
    <w:pPr>
      <w:jc w:val="center"/>
    </w:pPr>
  </w:style>
  <w:style w:type="character" w:customStyle="1" w:styleId="CentreNormalChar">
    <w:name w:val="Centre Normal Char"/>
    <w:basedOn w:val="DefaultParagraphFont"/>
    <w:link w:val="CentreNormal"/>
    <w:rsid w:val="00DC0AA1"/>
    <w:rPr>
      <w:rFonts w:ascii="Arial" w:hAnsi="Arial" w:cstheme="majorBidi"/>
      <w:color w:val="000000" w:themeColor="text1"/>
      <w:kern w:val="0"/>
      <w:sz w:val="24"/>
      <w:szCs w:val="32"/>
      <w14:ligatures w14:val="none"/>
    </w:rPr>
  </w:style>
  <w:style w:type="character" w:customStyle="1" w:styleId="Emphasisebold">
    <w:name w:val="Emphasise bold"/>
    <w:basedOn w:val="DefaultParagraphFont"/>
    <w:uiPriority w:val="1"/>
    <w:qFormat/>
    <w:rsid w:val="00DC0AA1"/>
    <w:rPr>
      <w:rFonts w:ascii="Arial" w:hAnsi="Arial"/>
      <w:b/>
    </w:rPr>
  </w:style>
  <w:style w:type="paragraph" w:customStyle="1" w:styleId="Centreboldnormal">
    <w:name w:val="Centre bold normal"/>
    <w:basedOn w:val="Normal"/>
    <w:next w:val="Normal"/>
    <w:link w:val="CentreboldnormalChar"/>
    <w:qFormat/>
    <w:rsid w:val="00DC0AA1"/>
    <w:pPr>
      <w:jc w:val="center"/>
    </w:pPr>
    <w:rPr>
      <w:b/>
      <w:lang w:eastAsia="en-GB"/>
    </w:rPr>
  </w:style>
  <w:style w:type="character" w:customStyle="1" w:styleId="CentreboldnormalChar">
    <w:name w:val="Centre bold normal Char"/>
    <w:basedOn w:val="DefaultParagraphFont"/>
    <w:link w:val="Centreboldnormal"/>
    <w:rsid w:val="00DC0AA1"/>
    <w:rPr>
      <w:rFonts w:ascii="Arial" w:hAnsi="Arial" w:cstheme="majorBidi"/>
      <w:b/>
      <w:color w:val="000000" w:themeColor="text1"/>
      <w:kern w:val="0"/>
      <w:sz w:val="24"/>
      <w:szCs w:val="32"/>
      <w:lang w:eastAsia="en-GB"/>
      <w14:ligatures w14:val="none"/>
    </w:rPr>
  </w:style>
  <w:style w:type="character" w:customStyle="1" w:styleId="Emphasiseitalic">
    <w:name w:val="Emphasise italic"/>
    <w:basedOn w:val="DefaultParagraphFont"/>
    <w:uiPriority w:val="1"/>
    <w:qFormat/>
    <w:rsid w:val="00DC0AA1"/>
    <w:rPr>
      <w:i/>
    </w:rPr>
  </w:style>
  <w:style w:type="table" w:customStyle="1" w:styleId="Table-SideShade">
    <w:name w:val="Table -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alibri" w:hAnsi="Calibri"/>
        <w:b w:val="0"/>
        <w:sz w:val="22"/>
      </w:rPr>
      <w:tblPr/>
      <w:tcPr>
        <w:shd w:val="clear" w:color="auto" w:fill="D9D9D9" w:themeFill="background1" w:themeFillShade="D9"/>
      </w:tcPr>
    </w:tblStylePr>
  </w:style>
  <w:style w:type="table" w:customStyle="1" w:styleId="Table-TopandSideShade">
    <w:name w:val="Table - Top and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tblStylePr w:type="firstCol">
      <w:rPr>
        <w:rFonts w:ascii="Calibri" w:hAnsi="Calibri"/>
        <w:b w:val="0"/>
        <w:sz w:val="22"/>
      </w:rPr>
      <w:tblPr/>
      <w:tcPr>
        <w:shd w:val="clear" w:color="auto" w:fill="D9D9D9" w:themeFill="background1" w:themeFillShade="D9"/>
      </w:tcPr>
    </w:tblStylePr>
  </w:style>
  <w:style w:type="table" w:customStyle="1" w:styleId="Table-TopShade">
    <w:name w:val="Table - Top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style>
  <w:style w:type="character" w:styleId="CommentReference">
    <w:name w:val="annotation reference"/>
    <w:basedOn w:val="DefaultParagraphFont"/>
    <w:uiPriority w:val="99"/>
    <w:semiHidden/>
    <w:unhideWhenUsed/>
    <w:rsid w:val="00CB4C6D"/>
    <w:rPr>
      <w:sz w:val="16"/>
      <w:szCs w:val="16"/>
    </w:rPr>
  </w:style>
  <w:style w:type="paragraph" w:styleId="CommentText">
    <w:name w:val="annotation text"/>
    <w:basedOn w:val="Normal"/>
    <w:link w:val="CommentTextChar"/>
    <w:uiPriority w:val="99"/>
    <w:unhideWhenUsed/>
    <w:rsid w:val="00CB4C6D"/>
    <w:rPr>
      <w:sz w:val="20"/>
      <w:szCs w:val="20"/>
    </w:rPr>
  </w:style>
  <w:style w:type="character" w:customStyle="1" w:styleId="CommentTextChar">
    <w:name w:val="Comment Text Char"/>
    <w:basedOn w:val="DefaultParagraphFont"/>
    <w:link w:val="CommentText"/>
    <w:uiPriority w:val="99"/>
    <w:rsid w:val="00CB4C6D"/>
    <w:rPr>
      <w:rFonts w:ascii="Arial" w:hAnsi="Arial" w:cstheme="majorBidi"/>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4C6D"/>
    <w:rPr>
      <w:b/>
      <w:bCs/>
    </w:rPr>
  </w:style>
  <w:style w:type="character" w:customStyle="1" w:styleId="CommentSubjectChar">
    <w:name w:val="Comment Subject Char"/>
    <w:basedOn w:val="CommentTextChar"/>
    <w:link w:val="CommentSubject"/>
    <w:uiPriority w:val="99"/>
    <w:semiHidden/>
    <w:rsid w:val="00CB4C6D"/>
    <w:rPr>
      <w:rFonts w:ascii="Arial" w:hAnsi="Arial" w:cstheme="majorBidi"/>
      <w:b/>
      <w:bCs/>
      <w:color w:val="000000" w:themeColor="text1"/>
      <w:kern w:val="0"/>
      <w:sz w:val="20"/>
      <w:szCs w:val="20"/>
      <w14:ligatures w14:val="none"/>
    </w:rPr>
  </w:style>
  <w:style w:type="paragraph" w:styleId="Revision">
    <w:name w:val="Revision"/>
    <w:hidden/>
    <w:uiPriority w:val="99"/>
    <w:semiHidden/>
    <w:rsid w:val="005E6D0F"/>
    <w:pPr>
      <w:spacing w:after="0" w:line="240" w:lineRule="auto"/>
    </w:pPr>
    <w:rPr>
      <w:rFonts w:ascii="Arial" w:hAnsi="Arial" w:cstheme="majorBidi"/>
      <w:color w:val="000000" w:themeColor="text1"/>
      <w:kern w:val="0"/>
      <w:sz w:val="24"/>
      <w:szCs w:val="32"/>
      <w14:ligatures w14:val="none"/>
    </w:rPr>
  </w:style>
  <w:style w:type="paragraph" w:styleId="Header">
    <w:name w:val="header"/>
    <w:basedOn w:val="Normal"/>
    <w:link w:val="HeaderChar"/>
    <w:uiPriority w:val="99"/>
    <w:semiHidden/>
    <w:unhideWhenUsed/>
    <w:locked/>
    <w:rsid w:val="00C84D9C"/>
    <w:pPr>
      <w:tabs>
        <w:tab w:val="center" w:pos="4513"/>
        <w:tab w:val="right" w:pos="9026"/>
      </w:tabs>
      <w:spacing w:after="0"/>
    </w:pPr>
  </w:style>
  <w:style w:type="character" w:customStyle="1" w:styleId="HeaderChar">
    <w:name w:val="Header Char"/>
    <w:basedOn w:val="DefaultParagraphFont"/>
    <w:link w:val="Header"/>
    <w:uiPriority w:val="99"/>
    <w:semiHidden/>
    <w:rsid w:val="00C84D9C"/>
    <w:rPr>
      <w:rFonts w:ascii="Arial" w:hAnsi="Arial" w:cstheme="majorBidi"/>
      <w:color w:val="000000" w:themeColor="text1"/>
      <w:kern w:val="0"/>
      <w:sz w:val="24"/>
      <w:szCs w:val="32"/>
      <w14:ligatures w14:val="none"/>
    </w:rPr>
  </w:style>
  <w:style w:type="paragraph" w:styleId="NormalWeb">
    <w:name w:val="Normal (Web)"/>
    <w:basedOn w:val="Normal"/>
    <w:uiPriority w:val="99"/>
    <w:semiHidden/>
    <w:unhideWhenUsed/>
    <w:locked/>
    <w:rsid w:val="00597F77"/>
    <w:rPr>
      <w:rFonts w:ascii="Times New Roman" w:hAnsi="Times New Roman" w:cs="Times New Roman"/>
      <w:szCs w:val="24"/>
    </w:rPr>
  </w:style>
  <w:style w:type="paragraph" w:styleId="ListParagraph">
    <w:name w:val="List Paragraph"/>
    <w:basedOn w:val="Normal"/>
    <w:uiPriority w:val="34"/>
    <w:qFormat/>
    <w:locked/>
    <w:rsid w:val="00374040"/>
    <w:pPr>
      <w:ind w:left="720"/>
      <w:contextualSpacing/>
    </w:pPr>
  </w:style>
  <w:style w:type="character" w:styleId="UnresolvedMention">
    <w:name w:val="Unresolved Mention"/>
    <w:basedOn w:val="DefaultParagraphFont"/>
    <w:uiPriority w:val="99"/>
    <w:semiHidden/>
    <w:unhideWhenUsed/>
    <w:locked/>
    <w:rsid w:val="005D3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6749">
      <w:bodyDiv w:val="1"/>
      <w:marLeft w:val="0"/>
      <w:marRight w:val="0"/>
      <w:marTop w:val="0"/>
      <w:marBottom w:val="0"/>
      <w:divBdr>
        <w:top w:val="none" w:sz="0" w:space="0" w:color="auto"/>
        <w:left w:val="none" w:sz="0" w:space="0" w:color="auto"/>
        <w:bottom w:val="none" w:sz="0" w:space="0" w:color="auto"/>
        <w:right w:val="none" w:sz="0" w:space="0" w:color="auto"/>
      </w:divBdr>
    </w:div>
    <w:div w:id="382674709">
      <w:bodyDiv w:val="1"/>
      <w:marLeft w:val="0"/>
      <w:marRight w:val="0"/>
      <w:marTop w:val="0"/>
      <w:marBottom w:val="0"/>
      <w:divBdr>
        <w:top w:val="none" w:sz="0" w:space="0" w:color="auto"/>
        <w:left w:val="none" w:sz="0" w:space="0" w:color="auto"/>
        <w:bottom w:val="none" w:sz="0" w:space="0" w:color="auto"/>
        <w:right w:val="none" w:sz="0" w:space="0" w:color="auto"/>
      </w:divBdr>
    </w:div>
    <w:div w:id="774399598">
      <w:bodyDiv w:val="1"/>
      <w:marLeft w:val="0"/>
      <w:marRight w:val="0"/>
      <w:marTop w:val="0"/>
      <w:marBottom w:val="0"/>
      <w:divBdr>
        <w:top w:val="none" w:sz="0" w:space="0" w:color="auto"/>
        <w:left w:val="none" w:sz="0" w:space="0" w:color="auto"/>
        <w:bottom w:val="none" w:sz="0" w:space="0" w:color="auto"/>
        <w:right w:val="none" w:sz="0" w:space="0" w:color="auto"/>
      </w:divBdr>
    </w:div>
    <w:div w:id="915162568">
      <w:bodyDiv w:val="1"/>
      <w:marLeft w:val="0"/>
      <w:marRight w:val="0"/>
      <w:marTop w:val="0"/>
      <w:marBottom w:val="0"/>
      <w:divBdr>
        <w:top w:val="none" w:sz="0" w:space="0" w:color="auto"/>
        <w:left w:val="none" w:sz="0" w:space="0" w:color="auto"/>
        <w:bottom w:val="none" w:sz="0" w:space="0" w:color="auto"/>
        <w:right w:val="none" w:sz="0" w:space="0" w:color="auto"/>
      </w:divBdr>
    </w:div>
    <w:div w:id="13538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werhamletshomes.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owerhamlets.gov.uk/lgnl/business/health_and_safety/fire_safety/Building-Safety-concerns-and-complaint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go.uk/contact-u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housing-ombudsman.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ing-ombudsma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Notes xmlns="54a0358b-ecfc-4e45-bc8c-71ba0bd8217c" xsi:nil="true"/>
    <TaxCatchAll xmlns="5f843945-7347-4826-a579-b398510b09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9" ma:contentTypeDescription="Create a new document." ma:contentTypeScope="" ma:versionID="4f725198022a4514062dee8580d5f05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2b946fffa900d77e6a80c93637da469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80f29-341e-416e-bfc4-29bd56b014c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A73A-70A6-4792-9FED-5CF00C51BD8D}">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customXml/itemProps2.xml><?xml version="1.0" encoding="utf-8"?>
<ds:datastoreItem xmlns:ds="http://schemas.openxmlformats.org/officeDocument/2006/customXml" ds:itemID="{34C95BDC-AA8C-4DA6-A1EF-B62305D14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9C058-5F1E-49BB-879D-B8FF4A80CF62}">
  <ds:schemaRefs>
    <ds:schemaRef ds:uri="http://schemas.microsoft.com/sharepoint/v3/contenttype/forms"/>
  </ds:schemaRefs>
</ds:datastoreItem>
</file>

<file path=customXml/itemProps4.xml><?xml version="1.0" encoding="utf-8"?>
<ds:datastoreItem xmlns:ds="http://schemas.openxmlformats.org/officeDocument/2006/customXml" ds:itemID="{F69EDEC5-F713-4EEB-88DE-4F94F36C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Complaints Policy and Procedure (Regulatory Assurance) 2</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management complaints policy and procedure</dc:title>
  <dc:subject>
  </dc:subject>
  <dc:creator>Tyran Pierre</dc:creator>
  <cp:keywords>
  </cp:keywords>
  <dc:description>
  </dc:description>
  <cp:lastModifiedBy>Phillip Nduoyo</cp:lastModifiedBy>
  <cp:revision>3</cp:revision>
  <dcterms:created xsi:type="dcterms:W3CDTF">2024-07-24T13:48:00Z</dcterms:created>
  <dcterms:modified xsi:type="dcterms:W3CDTF">2024-12-17T11:46:00Z</dcterms:modified>
  <cp:category>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ies>
</file>