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1DA9F" w14:textId="1BCB69EB" w:rsidR="00B4107C" w:rsidRPr="007C4F08" w:rsidRDefault="00C47250" w:rsidP="00B4107C">
      <w:pPr>
        <w:pStyle w:val="Title"/>
      </w:pPr>
      <w:sdt>
        <w:sdtPr>
          <w:alias w:val="Title"/>
          <w:tag w:val=""/>
          <w:id w:val="1960826847"/>
          <w:placeholder>
            <w:docPart w:val="A3BCB653F9C749B2BEF4823F1840ABE9"/>
          </w:placeholder>
          <w:dataBinding w:prefixMappings="xmlns:ns0='http://purl.org/dc/elements/1.1/' xmlns:ns1='http://schemas.openxmlformats.org/package/2006/metadata/core-properties' " w:xpath="/ns1:coreProperties[1]/ns0:title[1]" w:storeItemID="{6C3C8BC8-F283-45AE-878A-BAB7291924A1}"/>
          <w:text/>
        </w:sdtPr>
        <w:sdtEndPr/>
        <w:sdtContent>
          <w:r w:rsidR="007F2BEE">
            <w:t>Schools Forum Report</w:t>
          </w:r>
        </w:sdtContent>
      </w:sdt>
    </w:p>
    <w:p w14:paraId="7663744F" w14:textId="1580E1CA" w:rsidR="008A734E" w:rsidRPr="00BE6FB3" w:rsidRDefault="009F6740" w:rsidP="008A734E">
      <w:pPr>
        <w:pStyle w:val="Subtitle"/>
        <w:rPr>
          <w:szCs w:val="28"/>
        </w:rPr>
      </w:pPr>
      <w:r>
        <w:rPr>
          <w:szCs w:val="28"/>
        </w:rPr>
        <w:t xml:space="preserve">Agenda Item </w:t>
      </w:r>
      <w:r w:rsidR="003A6B55">
        <w:rPr>
          <w:szCs w:val="28"/>
        </w:rPr>
        <w:t>8</w:t>
      </w:r>
      <w:r>
        <w:rPr>
          <w:szCs w:val="28"/>
        </w:rPr>
        <w:t xml:space="preserve"> </w:t>
      </w:r>
      <w:r w:rsidR="009859B8">
        <w:rPr>
          <w:szCs w:val="28"/>
        </w:rPr>
        <w:t>–</w:t>
      </w:r>
      <w:r>
        <w:rPr>
          <w:szCs w:val="28"/>
        </w:rPr>
        <w:t xml:space="preserve"> </w:t>
      </w:r>
      <w:r w:rsidR="009859B8">
        <w:rPr>
          <w:szCs w:val="28"/>
        </w:rPr>
        <w:t>De Delegation Contingency Fund Outturn and Forecast</w:t>
      </w:r>
    </w:p>
    <w:p w14:paraId="2EED885C" w14:textId="77777777" w:rsidR="00A73D70" w:rsidRDefault="00A73D70"/>
    <w:p w14:paraId="7ABC7EC8" w14:textId="394DE96B" w:rsidR="001E4116" w:rsidRPr="009F6740" w:rsidRDefault="00C2294E" w:rsidP="00AE78B5">
      <w:pPr>
        <w:rPr>
          <w:b/>
          <w:sz w:val="22"/>
          <w:szCs w:val="22"/>
        </w:rPr>
      </w:pPr>
      <w:r w:rsidRPr="009F6740">
        <w:rPr>
          <w:b/>
          <w:sz w:val="22"/>
          <w:szCs w:val="22"/>
        </w:rPr>
        <w:t xml:space="preserve">Date Prepared:  </w:t>
      </w:r>
      <w:r w:rsidR="009F6740" w:rsidRPr="009F6740">
        <w:rPr>
          <w:b/>
          <w:sz w:val="22"/>
          <w:szCs w:val="22"/>
        </w:rPr>
        <w:t>25</w:t>
      </w:r>
      <w:r w:rsidR="009F6740" w:rsidRPr="009F6740">
        <w:rPr>
          <w:b/>
          <w:sz w:val="22"/>
          <w:szCs w:val="22"/>
          <w:vertAlign w:val="superscript"/>
        </w:rPr>
        <w:t>th</w:t>
      </w:r>
      <w:r w:rsidR="009F6740" w:rsidRPr="009F6740">
        <w:rPr>
          <w:b/>
          <w:sz w:val="22"/>
          <w:szCs w:val="22"/>
        </w:rPr>
        <w:t xml:space="preserve"> September 2024</w:t>
      </w:r>
    </w:p>
    <w:p w14:paraId="670ADF41" w14:textId="77777777" w:rsidR="00C2294E" w:rsidRPr="009F6740" w:rsidRDefault="00C2294E" w:rsidP="00AE78B5">
      <w:pPr>
        <w:rPr>
          <w:b/>
          <w:sz w:val="22"/>
          <w:szCs w:val="22"/>
        </w:rPr>
      </w:pPr>
    </w:p>
    <w:p w14:paraId="2021F530" w14:textId="28BF4432" w:rsidR="00C2294E" w:rsidRPr="009F6740" w:rsidRDefault="00C2294E" w:rsidP="00AE78B5">
      <w:pPr>
        <w:rPr>
          <w:b/>
          <w:sz w:val="22"/>
          <w:szCs w:val="22"/>
        </w:rPr>
      </w:pPr>
      <w:r w:rsidRPr="009F6740">
        <w:rPr>
          <w:b/>
          <w:sz w:val="22"/>
          <w:szCs w:val="22"/>
        </w:rPr>
        <w:t>Date to present the paper to Schools Forum: 9</w:t>
      </w:r>
      <w:r w:rsidRPr="009F6740">
        <w:rPr>
          <w:b/>
          <w:sz w:val="22"/>
          <w:szCs w:val="22"/>
          <w:vertAlign w:val="superscript"/>
        </w:rPr>
        <w:t>th</w:t>
      </w:r>
      <w:r w:rsidRPr="009F6740">
        <w:rPr>
          <w:b/>
          <w:sz w:val="22"/>
          <w:szCs w:val="22"/>
        </w:rPr>
        <w:t xml:space="preserve"> October 2024</w:t>
      </w:r>
    </w:p>
    <w:p w14:paraId="3FCF2C4E" w14:textId="77777777" w:rsidR="00C2294E" w:rsidRPr="009F6740" w:rsidRDefault="00C2294E" w:rsidP="00AE78B5">
      <w:pPr>
        <w:rPr>
          <w:b/>
          <w:sz w:val="22"/>
          <w:szCs w:val="22"/>
          <w:u w:val="single"/>
        </w:rPr>
      </w:pPr>
    </w:p>
    <w:p w14:paraId="7ABC7EC9" w14:textId="2B793D93" w:rsidR="001E4116" w:rsidRPr="006B7ED0" w:rsidRDefault="001E4116" w:rsidP="00AE78B5">
      <w:pPr>
        <w:rPr>
          <w:sz w:val="22"/>
          <w:szCs w:val="22"/>
        </w:rPr>
      </w:pPr>
      <w:r w:rsidRPr="006B7ED0">
        <w:rPr>
          <w:b/>
          <w:sz w:val="22"/>
          <w:szCs w:val="22"/>
        </w:rPr>
        <w:t xml:space="preserve">Author of the paper: </w:t>
      </w:r>
      <w:r w:rsidR="00862649" w:rsidRPr="006B7ED0">
        <w:rPr>
          <w:b/>
          <w:sz w:val="22"/>
          <w:szCs w:val="22"/>
        </w:rPr>
        <w:t xml:space="preserve">  </w:t>
      </w:r>
      <w:r w:rsidR="00EC607C" w:rsidRPr="006B7ED0">
        <w:rPr>
          <w:b/>
          <w:sz w:val="22"/>
          <w:szCs w:val="22"/>
        </w:rPr>
        <w:t>Terry Shaw</w:t>
      </w:r>
    </w:p>
    <w:p w14:paraId="7ABC7ECA" w14:textId="77777777" w:rsidR="001E4116" w:rsidRPr="006B7ED0" w:rsidRDefault="001E4116" w:rsidP="00AE78B5">
      <w:pPr>
        <w:rPr>
          <w:sz w:val="22"/>
          <w:szCs w:val="22"/>
        </w:rPr>
      </w:pPr>
    </w:p>
    <w:p w14:paraId="7ABC7ECB" w14:textId="068361B1" w:rsidR="001E4116" w:rsidRPr="006B7ED0" w:rsidRDefault="001E4116" w:rsidP="00AE78B5">
      <w:pPr>
        <w:rPr>
          <w:sz w:val="22"/>
          <w:szCs w:val="22"/>
        </w:rPr>
      </w:pPr>
      <w:r w:rsidRPr="006B7ED0">
        <w:rPr>
          <w:b/>
          <w:sz w:val="22"/>
          <w:szCs w:val="22"/>
        </w:rPr>
        <w:t xml:space="preserve">Officer to present the paper to </w:t>
      </w:r>
      <w:r w:rsidR="00025F55" w:rsidRPr="006B7ED0">
        <w:rPr>
          <w:b/>
          <w:sz w:val="22"/>
          <w:szCs w:val="22"/>
        </w:rPr>
        <w:t>Schools Forum</w:t>
      </w:r>
      <w:r w:rsidRPr="006B7ED0">
        <w:rPr>
          <w:b/>
          <w:sz w:val="22"/>
          <w:szCs w:val="22"/>
        </w:rPr>
        <w:t xml:space="preserve">: </w:t>
      </w:r>
      <w:r w:rsidR="00EC607C" w:rsidRPr="006B7ED0">
        <w:rPr>
          <w:b/>
          <w:sz w:val="22"/>
          <w:szCs w:val="22"/>
        </w:rPr>
        <w:t>Terry Shaw</w:t>
      </w:r>
    </w:p>
    <w:p w14:paraId="7ABC7ECC" w14:textId="77777777" w:rsidR="001E4116" w:rsidRPr="006B7ED0" w:rsidRDefault="001E4116" w:rsidP="00AE78B5">
      <w:pPr>
        <w:rPr>
          <w:sz w:val="22"/>
          <w:szCs w:val="22"/>
        </w:rPr>
      </w:pPr>
    </w:p>
    <w:p w14:paraId="7ABC7ECD" w14:textId="6088664A" w:rsidR="001E4116" w:rsidRPr="006B7ED0" w:rsidRDefault="001E4116" w:rsidP="00AE78B5">
      <w:pPr>
        <w:rPr>
          <w:b/>
          <w:sz w:val="22"/>
          <w:szCs w:val="22"/>
        </w:rPr>
      </w:pPr>
      <w:r w:rsidRPr="006B7ED0">
        <w:rPr>
          <w:b/>
          <w:sz w:val="22"/>
          <w:szCs w:val="22"/>
        </w:rPr>
        <w:t>Details on who has been consulted with on this paper to date:</w:t>
      </w:r>
      <w:r w:rsidR="00926117" w:rsidRPr="006B7ED0">
        <w:rPr>
          <w:b/>
          <w:sz w:val="22"/>
          <w:szCs w:val="22"/>
        </w:rPr>
        <w:t xml:space="preserve"> </w:t>
      </w:r>
      <w:r w:rsidR="00EC607C" w:rsidRPr="006B7ED0">
        <w:rPr>
          <w:b/>
          <w:sz w:val="22"/>
          <w:szCs w:val="22"/>
        </w:rPr>
        <w:t>Sara Walsingham</w:t>
      </w:r>
    </w:p>
    <w:p w14:paraId="7ABC7ECE" w14:textId="77777777" w:rsidR="001E4116" w:rsidRPr="006B7ED0" w:rsidRDefault="001E4116" w:rsidP="00AE78B5">
      <w:pPr>
        <w:spacing w:after="120"/>
        <w:rPr>
          <w:b/>
          <w:sz w:val="22"/>
          <w:szCs w:val="22"/>
        </w:rPr>
      </w:pPr>
    </w:p>
    <w:p w14:paraId="7ABC7ECF" w14:textId="77777777" w:rsidR="001E4116" w:rsidRPr="00823386" w:rsidRDefault="001E4116" w:rsidP="00823386">
      <w:pPr>
        <w:rPr>
          <w:b/>
          <w:sz w:val="22"/>
          <w:szCs w:val="22"/>
        </w:rPr>
      </w:pPr>
      <w:r w:rsidRPr="00823386">
        <w:rPr>
          <w:b/>
          <w:sz w:val="22"/>
          <w:szCs w:val="22"/>
        </w:rPr>
        <w:t>Executive Summary</w:t>
      </w:r>
    </w:p>
    <w:p w14:paraId="3755062E" w14:textId="77777777" w:rsidR="00823386" w:rsidRPr="00823386" w:rsidRDefault="00823386" w:rsidP="00823386">
      <w:pPr>
        <w:rPr>
          <w:b/>
          <w:sz w:val="22"/>
          <w:szCs w:val="22"/>
          <w:u w:val="single"/>
        </w:rPr>
      </w:pPr>
    </w:p>
    <w:p w14:paraId="353F6095" w14:textId="1B1684F0" w:rsidR="00B114C5" w:rsidRPr="006B7ED0" w:rsidRDefault="00B114C5" w:rsidP="00823386">
      <w:pPr>
        <w:rPr>
          <w:bCs/>
          <w:sz w:val="22"/>
          <w:szCs w:val="22"/>
        </w:rPr>
      </w:pPr>
      <w:r w:rsidRPr="00823386">
        <w:rPr>
          <w:bCs/>
          <w:sz w:val="22"/>
          <w:szCs w:val="22"/>
        </w:rPr>
        <w:t>This report s</w:t>
      </w:r>
      <w:r w:rsidR="00FC6340" w:rsidRPr="00823386">
        <w:rPr>
          <w:bCs/>
          <w:sz w:val="22"/>
          <w:szCs w:val="22"/>
        </w:rPr>
        <w:t>ets out</w:t>
      </w:r>
      <w:r w:rsidRPr="00823386">
        <w:rPr>
          <w:bCs/>
          <w:sz w:val="22"/>
          <w:szCs w:val="22"/>
        </w:rPr>
        <w:t xml:space="preserve"> </w:t>
      </w:r>
      <w:r w:rsidR="00C14F88" w:rsidRPr="00823386">
        <w:rPr>
          <w:bCs/>
          <w:sz w:val="22"/>
          <w:szCs w:val="22"/>
        </w:rPr>
        <w:t>how the contingency fund i</w:t>
      </w:r>
      <w:r w:rsidR="0085364A" w:rsidRPr="00823386">
        <w:rPr>
          <w:bCs/>
          <w:sz w:val="22"/>
          <w:szCs w:val="22"/>
        </w:rPr>
        <w:t>s managed to provide schools with an overview</w:t>
      </w:r>
      <w:r w:rsidR="00650A21" w:rsidRPr="00823386">
        <w:rPr>
          <w:bCs/>
          <w:sz w:val="22"/>
          <w:szCs w:val="22"/>
        </w:rPr>
        <w:t xml:space="preserve"> and a range of options to consider in advance</w:t>
      </w:r>
      <w:r w:rsidR="00650A21" w:rsidRPr="006B7ED0">
        <w:rPr>
          <w:bCs/>
          <w:sz w:val="22"/>
          <w:szCs w:val="22"/>
        </w:rPr>
        <w:t xml:space="preserve"> of a decision </w:t>
      </w:r>
      <w:r w:rsidR="00A2571C" w:rsidRPr="006B7ED0">
        <w:rPr>
          <w:bCs/>
          <w:sz w:val="22"/>
          <w:szCs w:val="22"/>
        </w:rPr>
        <w:t xml:space="preserve">for the </w:t>
      </w:r>
      <w:r w:rsidR="00882D92" w:rsidRPr="006B7ED0">
        <w:rPr>
          <w:bCs/>
          <w:sz w:val="22"/>
          <w:szCs w:val="22"/>
        </w:rPr>
        <w:t>202</w:t>
      </w:r>
      <w:r w:rsidR="0008290D" w:rsidRPr="006B7ED0">
        <w:rPr>
          <w:bCs/>
          <w:sz w:val="22"/>
          <w:szCs w:val="22"/>
        </w:rPr>
        <w:t>5</w:t>
      </w:r>
      <w:r w:rsidR="00882D92" w:rsidRPr="006B7ED0">
        <w:rPr>
          <w:bCs/>
          <w:sz w:val="22"/>
          <w:szCs w:val="22"/>
        </w:rPr>
        <w:t>-2</w:t>
      </w:r>
      <w:r w:rsidR="0008290D" w:rsidRPr="006B7ED0">
        <w:rPr>
          <w:bCs/>
          <w:sz w:val="22"/>
          <w:szCs w:val="22"/>
        </w:rPr>
        <w:t>6</w:t>
      </w:r>
      <w:r w:rsidR="00882D92" w:rsidRPr="006B7ED0">
        <w:rPr>
          <w:bCs/>
          <w:sz w:val="22"/>
          <w:szCs w:val="22"/>
        </w:rPr>
        <w:t xml:space="preserve"> funding year</w:t>
      </w:r>
      <w:r w:rsidR="0008290D" w:rsidRPr="006B7ED0">
        <w:rPr>
          <w:bCs/>
          <w:sz w:val="22"/>
          <w:szCs w:val="22"/>
        </w:rPr>
        <w:t>.</w:t>
      </w:r>
    </w:p>
    <w:p w14:paraId="7ABC7ED0" w14:textId="77777777" w:rsidR="001E4116" w:rsidRPr="006B7ED0" w:rsidRDefault="001E4116" w:rsidP="00AE78B5">
      <w:pPr>
        <w:rPr>
          <w:sz w:val="22"/>
          <w:szCs w:val="22"/>
        </w:rPr>
      </w:pPr>
    </w:p>
    <w:p w14:paraId="7ABC7ED1" w14:textId="77777777" w:rsidR="00F6086C" w:rsidRPr="006B7ED0" w:rsidRDefault="001E4116" w:rsidP="00AE78B5">
      <w:pPr>
        <w:rPr>
          <w:b/>
          <w:sz w:val="22"/>
          <w:szCs w:val="22"/>
        </w:rPr>
      </w:pPr>
      <w:r w:rsidRPr="006B7ED0">
        <w:rPr>
          <w:b/>
          <w:sz w:val="22"/>
          <w:szCs w:val="22"/>
        </w:rPr>
        <w:t xml:space="preserve">Details of recommendations and timescales for decisions: </w:t>
      </w:r>
    </w:p>
    <w:p w14:paraId="7ABC7ED2" w14:textId="77777777" w:rsidR="007303C1" w:rsidRPr="006B7ED0" w:rsidRDefault="00EE5A0F" w:rsidP="00AE78B5">
      <w:pPr>
        <w:spacing w:after="120"/>
        <w:rPr>
          <w:sz w:val="22"/>
          <w:szCs w:val="22"/>
        </w:rPr>
      </w:pPr>
      <w:r w:rsidRPr="006B7ED0">
        <w:rPr>
          <w:sz w:val="22"/>
          <w:szCs w:val="22"/>
        </w:rPr>
        <w:t>Schools Forum is</w:t>
      </w:r>
      <w:r w:rsidR="001E4116" w:rsidRPr="006B7ED0">
        <w:rPr>
          <w:sz w:val="22"/>
          <w:szCs w:val="22"/>
        </w:rPr>
        <w:t xml:space="preserve"> asked to:</w:t>
      </w:r>
    </w:p>
    <w:p w14:paraId="451CA33F" w14:textId="7CAAD30E" w:rsidR="009A71E5" w:rsidRPr="006B7ED0" w:rsidRDefault="009A71E5" w:rsidP="0067037F">
      <w:pPr>
        <w:spacing w:after="120"/>
        <w:ind w:left="567" w:hanging="567"/>
        <w:rPr>
          <w:sz w:val="22"/>
          <w:szCs w:val="22"/>
        </w:rPr>
      </w:pPr>
      <w:r w:rsidRPr="006B7ED0">
        <w:rPr>
          <w:sz w:val="22"/>
          <w:szCs w:val="22"/>
        </w:rPr>
        <w:t xml:space="preserve">1. </w:t>
      </w:r>
      <w:r w:rsidR="0067037F" w:rsidRPr="006B7ED0">
        <w:rPr>
          <w:sz w:val="22"/>
          <w:szCs w:val="22"/>
        </w:rPr>
        <w:t>N</w:t>
      </w:r>
      <w:r w:rsidR="007B3045" w:rsidRPr="006B7ED0">
        <w:rPr>
          <w:sz w:val="22"/>
          <w:szCs w:val="22"/>
        </w:rPr>
        <w:t>ote the contents of this report</w:t>
      </w:r>
    </w:p>
    <w:p w14:paraId="59CC3845" w14:textId="77777777" w:rsidR="00E17E1C" w:rsidRDefault="00E17E1C" w:rsidP="000528CE">
      <w:pPr>
        <w:ind w:left="567" w:hanging="567"/>
        <w:jc w:val="both"/>
        <w:rPr>
          <w:b/>
          <w:sz w:val="22"/>
          <w:szCs w:val="22"/>
        </w:rPr>
      </w:pPr>
    </w:p>
    <w:p w14:paraId="087AFD1E" w14:textId="77777777" w:rsidR="00E800DB" w:rsidRPr="006B7ED0" w:rsidRDefault="00E800DB" w:rsidP="000528CE">
      <w:pPr>
        <w:ind w:left="567" w:hanging="567"/>
        <w:jc w:val="both"/>
        <w:rPr>
          <w:b/>
          <w:sz w:val="22"/>
          <w:szCs w:val="22"/>
        </w:rPr>
      </w:pPr>
    </w:p>
    <w:p w14:paraId="0A97A370" w14:textId="44953D3E" w:rsidR="00E17E1C" w:rsidRPr="006B7ED0" w:rsidRDefault="00E17E1C" w:rsidP="00EE411A">
      <w:pPr>
        <w:pStyle w:val="NoSpacing"/>
        <w:rPr>
          <w:b/>
          <w:bCs/>
          <w:sz w:val="22"/>
          <w:szCs w:val="22"/>
        </w:rPr>
      </w:pPr>
      <w:r w:rsidRPr="006B7ED0">
        <w:rPr>
          <w:b/>
          <w:bCs/>
          <w:sz w:val="22"/>
          <w:szCs w:val="22"/>
        </w:rPr>
        <w:t xml:space="preserve">1 </w:t>
      </w:r>
      <w:r w:rsidR="000528CE" w:rsidRPr="006B7ED0">
        <w:rPr>
          <w:b/>
          <w:bCs/>
          <w:sz w:val="22"/>
          <w:szCs w:val="22"/>
        </w:rPr>
        <w:tab/>
      </w:r>
      <w:r w:rsidRPr="006B7ED0">
        <w:rPr>
          <w:b/>
          <w:bCs/>
          <w:sz w:val="22"/>
          <w:szCs w:val="22"/>
        </w:rPr>
        <w:t>Background</w:t>
      </w:r>
    </w:p>
    <w:p w14:paraId="7665A72C" w14:textId="77777777" w:rsidR="00E17E1C" w:rsidRPr="006B7ED0" w:rsidRDefault="00E17E1C" w:rsidP="00EE411A">
      <w:pPr>
        <w:pStyle w:val="NoSpacing"/>
        <w:rPr>
          <w:sz w:val="22"/>
          <w:szCs w:val="22"/>
        </w:rPr>
      </w:pPr>
    </w:p>
    <w:p w14:paraId="34CB389F" w14:textId="1A1576E8" w:rsidR="00E17E1C" w:rsidRPr="006B7ED0" w:rsidRDefault="00EE411A" w:rsidP="00EE411A">
      <w:pPr>
        <w:pStyle w:val="NoSpacing"/>
        <w:ind w:left="720" w:hanging="720"/>
        <w:rPr>
          <w:sz w:val="22"/>
          <w:szCs w:val="22"/>
        </w:rPr>
      </w:pPr>
      <w:r w:rsidRPr="006B7ED0">
        <w:rPr>
          <w:sz w:val="22"/>
          <w:szCs w:val="22"/>
        </w:rPr>
        <w:t>1.1</w:t>
      </w:r>
      <w:r w:rsidRPr="006B7ED0">
        <w:rPr>
          <w:sz w:val="22"/>
          <w:szCs w:val="22"/>
        </w:rPr>
        <w:tab/>
      </w:r>
      <w:r w:rsidR="004D5C22" w:rsidRPr="006B7ED0">
        <w:rPr>
          <w:sz w:val="22"/>
          <w:szCs w:val="22"/>
        </w:rPr>
        <w:t xml:space="preserve">At budget setting time each year, Schools Forum </w:t>
      </w:r>
      <w:r w:rsidR="00F651B8" w:rsidRPr="006B7ED0">
        <w:rPr>
          <w:sz w:val="22"/>
          <w:szCs w:val="22"/>
        </w:rPr>
        <w:t>is</w:t>
      </w:r>
      <w:r w:rsidR="004D5C22" w:rsidRPr="006B7ED0">
        <w:rPr>
          <w:sz w:val="22"/>
          <w:szCs w:val="22"/>
        </w:rPr>
        <w:t xml:space="preserve"> asked to approve the de-delegation of funding for centrally provided support in the following area</w:t>
      </w:r>
      <w:r w:rsidR="00A10226" w:rsidRPr="006B7ED0">
        <w:rPr>
          <w:sz w:val="22"/>
          <w:szCs w:val="22"/>
        </w:rPr>
        <w:t>s:</w:t>
      </w:r>
    </w:p>
    <w:p w14:paraId="32945274" w14:textId="77777777" w:rsidR="00760256" w:rsidRPr="006B7ED0" w:rsidRDefault="00760256" w:rsidP="00EE411A">
      <w:pPr>
        <w:pStyle w:val="NoSpacing"/>
        <w:rPr>
          <w:sz w:val="22"/>
          <w:szCs w:val="22"/>
        </w:rPr>
      </w:pPr>
    </w:p>
    <w:p w14:paraId="54662B73" w14:textId="25C0D739" w:rsidR="00760256" w:rsidRPr="006B7ED0" w:rsidRDefault="00760256" w:rsidP="00277902">
      <w:pPr>
        <w:pStyle w:val="NoSpacing"/>
        <w:numPr>
          <w:ilvl w:val="0"/>
          <w:numId w:val="4"/>
        </w:numPr>
        <w:rPr>
          <w:sz w:val="22"/>
          <w:szCs w:val="22"/>
        </w:rPr>
      </w:pPr>
      <w:r w:rsidRPr="006B7ED0">
        <w:rPr>
          <w:sz w:val="22"/>
          <w:szCs w:val="22"/>
        </w:rPr>
        <w:t>Contingency</w:t>
      </w:r>
      <w:r w:rsidR="00F651B8" w:rsidRPr="006B7ED0">
        <w:rPr>
          <w:sz w:val="22"/>
          <w:szCs w:val="22"/>
        </w:rPr>
        <w:t xml:space="preserve"> Fund</w:t>
      </w:r>
    </w:p>
    <w:p w14:paraId="6E9DAE52" w14:textId="317F7B8F" w:rsidR="00760256" w:rsidRPr="006B7ED0" w:rsidRDefault="00760256" w:rsidP="00277902">
      <w:pPr>
        <w:pStyle w:val="NoSpacing"/>
        <w:numPr>
          <w:ilvl w:val="0"/>
          <w:numId w:val="4"/>
        </w:numPr>
        <w:rPr>
          <w:sz w:val="22"/>
          <w:szCs w:val="22"/>
        </w:rPr>
      </w:pPr>
      <w:r w:rsidRPr="006B7ED0">
        <w:rPr>
          <w:sz w:val="22"/>
          <w:szCs w:val="22"/>
        </w:rPr>
        <w:t>Free School Meal</w:t>
      </w:r>
      <w:r w:rsidR="00312317" w:rsidRPr="006B7ED0">
        <w:rPr>
          <w:sz w:val="22"/>
          <w:szCs w:val="22"/>
        </w:rPr>
        <w:t>s (FSM)</w:t>
      </w:r>
      <w:r w:rsidRPr="006B7ED0">
        <w:rPr>
          <w:sz w:val="22"/>
          <w:szCs w:val="22"/>
        </w:rPr>
        <w:t xml:space="preserve"> Eligibility Assessment</w:t>
      </w:r>
    </w:p>
    <w:p w14:paraId="46C74443" w14:textId="6A39C561" w:rsidR="00760256" w:rsidRPr="006B7ED0" w:rsidRDefault="00636E2F" w:rsidP="00277902">
      <w:pPr>
        <w:pStyle w:val="NoSpacing"/>
        <w:numPr>
          <w:ilvl w:val="0"/>
          <w:numId w:val="4"/>
        </w:numPr>
        <w:rPr>
          <w:sz w:val="22"/>
          <w:szCs w:val="22"/>
        </w:rPr>
      </w:pPr>
      <w:r w:rsidRPr="006B7ED0">
        <w:rPr>
          <w:sz w:val="22"/>
          <w:szCs w:val="22"/>
        </w:rPr>
        <w:t>Trade Union Facilities</w:t>
      </w:r>
      <w:r w:rsidR="00783758" w:rsidRPr="006B7ED0">
        <w:rPr>
          <w:sz w:val="22"/>
          <w:szCs w:val="22"/>
        </w:rPr>
        <w:t xml:space="preserve"> </w:t>
      </w:r>
      <w:r w:rsidR="008E1004" w:rsidRPr="006B7ED0">
        <w:rPr>
          <w:sz w:val="22"/>
          <w:szCs w:val="22"/>
        </w:rPr>
        <w:t>Agreement</w:t>
      </w:r>
      <w:r w:rsidR="00783758" w:rsidRPr="006B7ED0">
        <w:rPr>
          <w:sz w:val="22"/>
          <w:szCs w:val="22"/>
        </w:rPr>
        <w:t xml:space="preserve"> (TUFA)</w:t>
      </w:r>
      <w:r w:rsidR="00312317" w:rsidRPr="006B7ED0">
        <w:rPr>
          <w:sz w:val="22"/>
          <w:szCs w:val="22"/>
        </w:rPr>
        <w:t xml:space="preserve"> Time</w:t>
      </w:r>
    </w:p>
    <w:p w14:paraId="45467E7A" w14:textId="47C01B2B" w:rsidR="00760256" w:rsidRPr="006B7ED0" w:rsidRDefault="00760256" w:rsidP="00277902">
      <w:pPr>
        <w:pStyle w:val="NoSpacing"/>
        <w:numPr>
          <w:ilvl w:val="0"/>
          <w:numId w:val="4"/>
        </w:numPr>
        <w:rPr>
          <w:sz w:val="22"/>
          <w:szCs w:val="22"/>
        </w:rPr>
      </w:pPr>
      <w:r w:rsidRPr="006B7ED0">
        <w:rPr>
          <w:sz w:val="22"/>
          <w:szCs w:val="22"/>
        </w:rPr>
        <w:t>Behaviour Support</w:t>
      </w:r>
    </w:p>
    <w:p w14:paraId="6AA3CBF0" w14:textId="76023F22" w:rsidR="00031C0E" w:rsidRPr="006B7ED0" w:rsidRDefault="00031C0E" w:rsidP="00277902">
      <w:pPr>
        <w:pStyle w:val="NoSpacing"/>
        <w:numPr>
          <w:ilvl w:val="0"/>
          <w:numId w:val="4"/>
        </w:numPr>
        <w:rPr>
          <w:sz w:val="22"/>
          <w:szCs w:val="22"/>
        </w:rPr>
      </w:pPr>
      <w:r w:rsidRPr="006B7ED0">
        <w:rPr>
          <w:sz w:val="22"/>
          <w:szCs w:val="22"/>
        </w:rPr>
        <w:t>Additional School Improvement</w:t>
      </w:r>
    </w:p>
    <w:p w14:paraId="26733650" w14:textId="77777777" w:rsidR="00760256" w:rsidRPr="006B7ED0" w:rsidRDefault="00760256" w:rsidP="00EE411A">
      <w:pPr>
        <w:pStyle w:val="NoSpacing"/>
        <w:rPr>
          <w:sz w:val="22"/>
          <w:szCs w:val="22"/>
        </w:rPr>
      </w:pPr>
    </w:p>
    <w:p w14:paraId="4B7BB638" w14:textId="2E912CB5" w:rsidR="00A10226" w:rsidRPr="006B7ED0" w:rsidRDefault="00057FE7" w:rsidP="00057FE7">
      <w:pPr>
        <w:pStyle w:val="NoSpacing"/>
        <w:ind w:left="720" w:hanging="720"/>
        <w:rPr>
          <w:sz w:val="22"/>
          <w:szCs w:val="22"/>
        </w:rPr>
      </w:pPr>
      <w:r w:rsidRPr="006B7ED0">
        <w:rPr>
          <w:sz w:val="22"/>
          <w:szCs w:val="22"/>
        </w:rPr>
        <w:t>1.2</w:t>
      </w:r>
      <w:r w:rsidRPr="006B7ED0">
        <w:rPr>
          <w:sz w:val="22"/>
          <w:szCs w:val="22"/>
        </w:rPr>
        <w:tab/>
      </w:r>
      <w:r w:rsidR="002A0922" w:rsidRPr="006B7ED0">
        <w:rPr>
          <w:sz w:val="22"/>
          <w:szCs w:val="22"/>
        </w:rPr>
        <w:t xml:space="preserve">De-delegation </w:t>
      </w:r>
      <w:r w:rsidR="00A10226" w:rsidRPr="006B7ED0">
        <w:rPr>
          <w:sz w:val="22"/>
          <w:szCs w:val="22"/>
        </w:rPr>
        <w:t>is</w:t>
      </w:r>
      <w:r w:rsidR="002A0922" w:rsidRPr="006B7ED0">
        <w:rPr>
          <w:sz w:val="22"/>
          <w:szCs w:val="22"/>
        </w:rPr>
        <w:t xml:space="preserve"> </w:t>
      </w:r>
      <w:r w:rsidR="004060F0" w:rsidRPr="006B7ED0">
        <w:rPr>
          <w:sz w:val="22"/>
          <w:szCs w:val="22"/>
        </w:rPr>
        <w:t xml:space="preserve">agreed by Schools Forum </w:t>
      </w:r>
      <w:r w:rsidR="008F18A6" w:rsidRPr="006B7ED0">
        <w:rPr>
          <w:sz w:val="22"/>
          <w:szCs w:val="22"/>
        </w:rPr>
        <w:t xml:space="preserve">as a contribution from maintained schools to fund the </w:t>
      </w:r>
      <w:proofErr w:type="gramStart"/>
      <w:r w:rsidR="008F18A6" w:rsidRPr="006B7ED0">
        <w:rPr>
          <w:sz w:val="22"/>
          <w:szCs w:val="22"/>
        </w:rPr>
        <w:t>aforementioned centrally</w:t>
      </w:r>
      <w:proofErr w:type="gramEnd"/>
      <w:r w:rsidR="008F18A6" w:rsidRPr="006B7ED0">
        <w:rPr>
          <w:sz w:val="22"/>
          <w:szCs w:val="22"/>
        </w:rPr>
        <w:t xml:space="preserve"> supported activities </w:t>
      </w:r>
      <w:r w:rsidR="002A0922" w:rsidRPr="006B7ED0">
        <w:rPr>
          <w:sz w:val="22"/>
          <w:szCs w:val="22"/>
        </w:rPr>
        <w:t>based on a per pupil formula</w:t>
      </w:r>
      <w:r w:rsidR="00886E5D" w:rsidRPr="006B7ED0">
        <w:rPr>
          <w:sz w:val="22"/>
          <w:szCs w:val="22"/>
        </w:rPr>
        <w:t>,</w:t>
      </w:r>
      <w:r w:rsidR="004C64E9" w:rsidRPr="006B7ED0">
        <w:rPr>
          <w:sz w:val="22"/>
          <w:szCs w:val="22"/>
        </w:rPr>
        <w:t xml:space="preserve"> which is </w:t>
      </w:r>
      <w:r w:rsidR="00A10226" w:rsidRPr="006B7ED0">
        <w:rPr>
          <w:sz w:val="22"/>
          <w:szCs w:val="22"/>
        </w:rPr>
        <w:t>considered by the DfE</w:t>
      </w:r>
      <w:r w:rsidR="004C64E9" w:rsidRPr="006B7ED0">
        <w:rPr>
          <w:sz w:val="22"/>
          <w:szCs w:val="22"/>
        </w:rPr>
        <w:t xml:space="preserve"> to be a fair way of accounting for the size of the school and its budget.</w:t>
      </w:r>
    </w:p>
    <w:p w14:paraId="558C8BB8" w14:textId="77777777" w:rsidR="0062208E" w:rsidRPr="006B7ED0" w:rsidRDefault="0062208E" w:rsidP="00EE411A">
      <w:pPr>
        <w:pStyle w:val="NoSpacing"/>
        <w:rPr>
          <w:sz w:val="22"/>
          <w:szCs w:val="22"/>
        </w:rPr>
      </w:pPr>
    </w:p>
    <w:p w14:paraId="729F3A8E" w14:textId="77777777" w:rsidR="009F6740" w:rsidRDefault="009F6740">
      <w:pPr>
        <w:rPr>
          <w:rFonts w:cs="Arial"/>
          <w:sz w:val="22"/>
          <w:szCs w:val="22"/>
        </w:rPr>
      </w:pPr>
      <w:r>
        <w:rPr>
          <w:rFonts w:cs="Arial"/>
          <w:sz w:val="22"/>
          <w:szCs w:val="22"/>
        </w:rPr>
        <w:br w:type="page"/>
      </w:r>
    </w:p>
    <w:p w14:paraId="2CD36728" w14:textId="65AB2B0B" w:rsidR="0062208E" w:rsidRPr="006B7ED0" w:rsidRDefault="00057FE7" w:rsidP="00057FE7">
      <w:pPr>
        <w:pStyle w:val="NoSpacing"/>
        <w:ind w:left="709" w:hanging="709"/>
        <w:rPr>
          <w:sz w:val="22"/>
          <w:szCs w:val="22"/>
        </w:rPr>
      </w:pPr>
      <w:r w:rsidRPr="006B7ED0">
        <w:rPr>
          <w:rFonts w:cs="Arial"/>
          <w:sz w:val="22"/>
          <w:szCs w:val="22"/>
        </w:rPr>
        <w:lastRenderedPageBreak/>
        <w:t>1.3</w:t>
      </w:r>
      <w:r w:rsidRPr="006B7ED0">
        <w:rPr>
          <w:rFonts w:cs="Arial"/>
          <w:sz w:val="22"/>
          <w:szCs w:val="22"/>
        </w:rPr>
        <w:tab/>
      </w:r>
      <w:r w:rsidR="00783758" w:rsidRPr="006B7ED0">
        <w:rPr>
          <w:rFonts w:cs="Arial"/>
          <w:sz w:val="22"/>
          <w:szCs w:val="22"/>
        </w:rPr>
        <w:t>The Contingency Fund</w:t>
      </w:r>
      <w:r w:rsidR="004060F0" w:rsidRPr="006B7ED0">
        <w:rPr>
          <w:rFonts w:cs="Arial"/>
          <w:sz w:val="22"/>
          <w:szCs w:val="22"/>
        </w:rPr>
        <w:t xml:space="preserve"> </w:t>
      </w:r>
      <w:r w:rsidR="00783758" w:rsidRPr="006B7ED0">
        <w:rPr>
          <w:rFonts w:cs="Arial"/>
          <w:sz w:val="22"/>
          <w:szCs w:val="22"/>
        </w:rPr>
        <w:t>provides for unforeseen expenses in schools during the year</w:t>
      </w:r>
      <w:r w:rsidR="0067037F" w:rsidRPr="006B7ED0">
        <w:rPr>
          <w:rFonts w:cs="Arial"/>
          <w:sz w:val="22"/>
          <w:szCs w:val="22"/>
        </w:rPr>
        <w:t>, which can include:</w:t>
      </w:r>
    </w:p>
    <w:p w14:paraId="2E7EF5EB" w14:textId="77777777" w:rsidR="0067037F" w:rsidRPr="006B7ED0" w:rsidRDefault="0067037F" w:rsidP="00EE411A">
      <w:pPr>
        <w:pStyle w:val="NoSpacing"/>
        <w:rPr>
          <w:sz w:val="22"/>
          <w:szCs w:val="22"/>
        </w:rPr>
      </w:pPr>
    </w:p>
    <w:p w14:paraId="451DB82B" w14:textId="4712E63D" w:rsidR="0067037F" w:rsidRPr="006B7ED0" w:rsidRDefault="0067037F" w:rsidP="00277902">
      <w:pPr>
        <w:pStyle w:val="NoSpacing"/>
        <w:numPr>
          <w:ilvl w:val="0"/>
          <w:numId w:val="3"/>
        </w:numPr>
        <w:ind w:left="1069"/>
        <w:rPr>
          <w:rFonts w:cs="Arial"/>
          <w:color w:val="000000"/>
          <w:sz w:val="22"/>
          <w:szCs w:val="22"/>
        </w:rPr>
      </w:pPr>
      <w:r w:rsidRPr="006B7ED0">
        <w:rPr>
          <w:rFonts w:cs="Arial"/>
          <w:color w:val="000000"/>
          <w:sz w:val="22"/>
          <w:szCs w:val="22"/>
        </w:rPr>
        <w:t>Exceptional unforeseen costs which it would be unreasonable to expect governing bodies to meet</w:t>
      </w:r>
    </w:p>
    <w:p w14:paraId="202F2988" w14:textId="32D8A57A" w:rsidR="0067037F" w:rsidRPr="006B7ED0" w:rsidRDefault="0067037F" w:rsidP="00277902">
      <w:pPr>
        <w:pStyle w:val="NoSpacing"/>
        <w:numPr>
          <w:ilvl w:val="0"/>
          <w:numId w:val="3"/>
        </w:numPr>
        <w:ind w:left="1069"/>
        <w:rPr>
          <w:rFonts w:cs="Arial"/>
          <w:color w:val="000000"/>
          <w:sz w:val="22"/>
          <w:szCs w:val="22"/>
        </w:rPr>
      </w:pPr>
      <w:r w:rsidRPr="006B7ED0">
        <w:rPr>
          <w:rFonts w:cs="Arial"/>
          <w:color w:val="000000"/>
          <w:sz w:val="22"/>
          <w:szCs w:val="22"/>
        </w:rPr>
        <w:t xml:space="preserve">Schools </w:t>
      </w:r>
      <w:r w:rsidR="004C37EA">
        <w:rPr>
          <w:rFonts w:cs="Arial"/>
          <w:color w:val="000000"/>
          <w:sz w:val="22"/>
          <w:szCs w:val="22"/>
        </w:rPr>
        <w:t>Sustainability Group costs to assist maintained schools in financial difficulty</w:t>
      </w:r>
    </w:p>
    <w:p w14:paraId="0F5703AB" w14:textId="300841F5" w:rsidR="0067037F" w:rsidRPr="00665A4C" w:rsidRDefault="0067037F" w:rsidP="00277902">
      <w:pPr>
        <w:pStyle w:val="NoSpacing"/>
        <w:numPr>
          <w:ilvl w:val="0"/>
          <w:numId w:val="3"/>
        </w:numPr>
        <w:ind w:left="1069"/>
        <w:rPr>
          <w:rFonts w:cs="Arial"/>
          <w:color w:val="000000"/>
          <w:sz w:val="22"/>
          <w:szCs w:val="22"/>
        </w:rPr>
      </w:pPr>
      <w:r w:rsidRPr="006B7ED0">
        <w:rPr>
          <w:rFonts w:cs="Arial"/>
          <w:color w:val="000000"/>
          <w:sz w:val="22"/>
          <w:szCs w:val="22"/>
        </w:rPr>
        <w:t>Additional costs relating to reorganised or closing schools</w:t>
      </w:r>
    </w:p>
    <w:p w14:paraId="74977DE9" w14:textId="77777777" w:rsidR="00D93B6C" w:rsidRDefault="00D93B6C" w:rsidP="00D93B6C">
      <w:pPr>
        <w:pStyle w:val="NoSpacing"/>
        <w:ind w:left="1069"/>
        <w:rPr>
          <w:rFonts w:cs="Arial"/>
          <w:color w:val="000000"/>
          <w:sz w:val="22"/>
          <w:szCs w:val="22"/>
        </w:rPr>
      </w:pPr>
    </w:p>
    <w:p w14:paraId="649D8F43" w14:textId="7CE3BAC7" w:rsidR="00D93B6C" w:rsidRPr="007972C5" w:rsidRDefault="00D93B6C" w:rsidP="007972C5">
      <w:pPr>
        <w:pStyle w:val="NoSpacing"/>
        <w:ind w:left="709" w:hanging="709"/>
        <w:rPr>
          <w:rFonts w:cs="Arial"/>
          <w:color w:val="000000"/>
          <w:sz w:val="22"/>
          <w:szCs w:val="22"/>
        </w:rPr>
      </w:pPr>
      <w:r>
        <w:rPr>
          <w:rFonts w:cs="Arial"/>
          <w:color w:val="000000"/>
          <w:sz w:val="22"/>
          <w:szCs w:val="22"/>
        </w:rPr>
        <w:t>1.4</w:t>
      </w:r>
      <w:r>
        <w:rPr>
          <w:rFonts w:cs="Arial"/>
          <w:color w:val="000000"/>
          <w:sz w:val="22"/>
          <w:szCs w:val="22"/>
        </w:rPr>
        <w:tab/>
      </w:r>
      <w:r w:rsidR="007972C5" w:rsidRPr="007972C5">
        <w:rPr>
          <w:sz w:val="22"/>
          <w:szCs w:val="22"/>
        </w:rPr>
        <w:t xml:space="preserve">Without a central fund, individual schools facing an unforeseen significant cost may find themselves unable to operate within their delegated budgets.  Individual schools may not by themselves be able to build up sufficient contingency to cover this.  </w:t>
      </w:r>
    </w:p>
    <w:p w14:paraId="720E6D2B" w14:textId="2B6D14C6" w:rsidR="00E27C83" w:rsidRPr="007972C5" w:rsidRDefault="00E27C83">
      <w:pPr>
        <w:rPr>
          <w:sz w:val="22"/>
          <w:szCs w:val="22"/>
        </w:rPr>
      </w:pPr>
    </w:p>
    <w:p w14:paraId="0185F6F0" w14:textId="77777777" w:rsidR="0067037F" w:rsidRPr="006B7ED0" w:rsidRDefault="0067037F" w:rsidP="00057FE7">
      <w:pPr>
        <w:pStyle w:val="NoSpacing"/>
        <w:ind w:left="349"/>
        <w:rPr>
          <w:sz w:val="22"/>
          <w:szCs w:val="22"/>
        </w:rPr>
      </w:pPr>
    </w:p>
    <w:p w14:paraId="362F1E14" w14:textId="0DAA296A" w:rsidR="007F1B40" w:rsidRDefault="00E16290" w:rsidP="00A66AC6">
      <w:pPr>
        <w:pStyle w:val="NoSpacing"/>
        <w:rPr>
          <w:b/>
          <w:bCs/>
          <w:sz w:val="22"/>
          <w:szCs w:val="22"/>
        </w:rPr>
      </w:pPr>
      <w:r w:rsidRPr="00A66AC6">
        <w:rPr>
          <w:b/>
          <w:bCs/>
          <w:sz w:val="22"/>
          <w:szCs w:val="22"/>
        </w:rPr>
        <w:t>2</w:t>
      </w:r>
      <w:r w:rsidRPr="00A66AC6">
        <w:rPr>
          <w:b/>
          <w:bCs/>
          <w:sz w:val="22"/>
          <w:szCs w:val="22"/>
        </w:rPr>
        <w:tab/>
      </w:r>
      <w:r w:rsidR="003A5DB6">
        <w:rPr>
          <w:b/>
          <w:bCs/>
          <w:sz w:val="22"/>
          <w:szCs w:val="22"/>
        </w:rPr>
        <w:t xml:space="preserve">2023-2024 </w:t>
      </w:r>
      <w:r w:rsidR="005957E5" w:rsidRPr="00A66AC6">
        <w:rPr>
          <w:b/>
          <w:bCs/>
          <w:sz w:val="22"/>
          <w:szCs w:val="22"/>
        </w:rPr>
        <w:t xml:space="preserve">Contingency Fund </w:t>
      </w:r>
      <w:r w:rsidRPr="00A66AC6">
        <w:rPr>
          <w:b/>
          <w:bCs/>
          <w:sz w:val="22"/>
          <w:szCs w:val="22"/>
        </w:rPr>
        <w:t xml:space="preserve">Budget and Outturn </w:t>
      </w:r>
      <w:r w:rsidR="00E27C83" w:rsidRPr="00A66AC6">
        <w:rPr>
          <w:b/>
          <w:bCs/>
          <w:sz w:val="22"/>
          <w:szCs w:val="22"/>
        </w:rPr>
        <w:t>Position</w:t>
      </w:r>
    </w:p>
    <w:p w14:paraId="3688E489" w14:textId="77777777" w:rsidR="00925060" w:rsidRDefault="00925060" w:rsidP="00A66AC6">
      <w:pPr>
        <w:pStyle w:val="NoSpacing"/>
        <w:rPr>
          <w:b/>
          <w:bCs/>
          <w:sz w:val="22"/>
          <w:szCs w:val="22"/>
        </w:rPr>
      </w:pPr>
    </w:p>
    <w:p w14:paraId="3E418DCF" w14:textId="3C7938F0" w:rsidR="000E18A5" w:rsidRDefault="009A7ACC" w:rsidP="009A7ACC">
      <w:pPr>
        <w:pStyle w:val="NoSpacing"/>
        <w:ind w:left="720" w:hanging="720"/>
        <w:rPr>
          <w:sz w:val="22"/>
          <w:szCs w:val="22"/>
        </w:rPr>
      </w:pPr>
      <w:r>
        <w:rPr>
          <w:sz w:val="22"/>
          <w:szCs w:val="22"/>
        </w:rPr>
        <w:t>2.1</w:t>
      </w:r>
      <w:r>
        <w:rPr>
          <w:sz w:val="22"/>
          <w:szCs w:val="22"/>
        </w:rPr>
        <w:tab/>
      </w:r>
      <w:r w:rsidR="00925060">
        <w:rPr>
          <w:sz w:val="22"/>
          <w:szCs w:val="22"/>
        </w:rPr>
        <w:t xml:space="preserve">The agreed rate per pupil </w:t>
      </w:r>
      <w:r w:rsidR="002F2954">
        <w:rPr>
          <w:sz w:val="22"/>
          <w:szCs w:val="22"/>
        </w:rPr>
        <w:t>agreed with Schools Forum to be charged to mainstream schools via de-de</w:t>
      </w:r>
      <w:r w:rsidR="00413F31">
        <w:rPr>
          <w:sz w:val="22"/>
          <w:szCs w:val="22"/>
        </w:rPr>
        <w:t>legation was £15.89 per pupil for both primary and secondary schools,</w:t>
      </w:r>
      <w:r w:rsidR="005B564D">
        <w:rPr>
          <w:sz w:val="22"/>
          <w:szCs w:val="22"/>
        </w:rPr>
        <w:t xml:space="preserve"> </w:t>
      </w:r>
      <w:r w:rsidR="00413F31">
        <w:rPr>
          <w:sz w:val="22"/>
          <w:szCs w:val="22"/>
        </w:rPr>
        <w:t>creating a total contingency fund budget of £442,662 for 2023-2024</w:t>
      </w:r>
      <w:r w:rsidR="000E18A5">
        <w:rPr>
          <w:sz w:val="22"/>
          <w:szCs w:val="22"/>
        </w:rPr>
        <w:t xml:space="preserve"> to be managed by the local authority on behalf of Schools Forum.</w:t>
      </w:r>
    </w:p>
    <w:p w14:paraId="78B9F181" w14:textId="77777777" w:rsidR="000E18A5" w:rsidRDefault="000E18A5" w:rsidP="009A7ACC">
      <w:pPr>
        <w:pStyle w:val="NoSpacing"/>
        <w:ind w:left="720" w:hanging="720"/>
        <w:rPr>
          <w:sz w:val="22"/>
          <w:szCs w:val="22"/>
        </w:rPr>
      </w:pPr>
    </w:p>
    <w:p w14:paraId="3D9B2D8D" w14:textId="1F589764" w:rsidR="00100961" w:rsidRDefault="000E18A5" w:rsidP="00F1409A">
      <w:pPr>
        <w:pStyle w:val="NoSpacing"/>
        <w:ind w:left="720" w:hanging="720"/>
        <w:rPr>
          <w:sz w:val="22"/>
          <w:szCs w:val="22"/>
        </w:rPr>
      </w:pPr>
      <w:r>
        <w:rPr>
          <w:sz w:val="22"/>
          <w:szCs w:val="22"/>
        </w:rPr>
        <w:t>2.2</w:t>
      </w:r>
      <w:r>
        <w:rPr>
          <w:sz w:val="22"/>
          <w:szCs w:val="22"/>
        </w:rPr>
        <w:tab/>
      </w:r>
      <w:r w:rsidR="008518D0">
        <w:rPr>
          <w:sz w:val="22"/>
          <w:szCs w:val="22"/>
        </w:rPr>
        <w:t>Contingency Fund expenditure of £126,522 was incurred in 2023-2024, producing an underspend against budget of £316,142.</w:t>
      </w:r>
    </w:p>
    <w:p w14:paraId="3D9F8E1C" w14:textId="77777777" w:rsidR="00F1409A" w:rsidRDefault="00F1409A" w:rsidP="00F1409A">
      <w:pPr>
        <w:pStyle w:val="NoSpacing"/>
        <w:ind w:left="720" w:hanging="720"/>
        <w:rPr>
          <w:sz w:val="22"/>
          <w:szCs w:val="22"/>
        </w:rPr>
      </w:pPr>
    </w:p>
    <w:p w14:paraId="79EADF72" w14:textId="77777777" w:rsidR="009E5F18" w:rsidRDefault="00F1409A" w:rsidP="00DD2615">
      <w:pPr>
        <w:widowControl w:val="0"/>
        <w:autoSpaceDE w:val="0"/>
        <w:autoSpaceDN w:val="0"/>
        <w:adjustRightInd w:val="0"/>
        <w:ind w:left="720" w:hanging="720"/>
        <w:rPr>
          <w:rFonts w:cs="Arial"/>
          <w:sz w:val="22"/>
          <w:szCs w:val="22"/>
        </w:rPr>
      </w:pPr>
      <w:r>
        <w:rPr>
          <w:sz w:val="22"/>
          <w:szCs w:val="22"/>
        </w:rPr>
        <w:t>2.3</w:t>
      </w:r>
      <w:r>
        <w:rPr>
          <w:sz w:val="22"/>
          <w:szCs w:val="22"/>
        </w:rPr>
        <w:tab/>
        <w:t xml:space="preserve">At the June </w:t>
      </w:r>
      <w:r w:rsidR="00D50B6F">
        <w:rPr>
          <w:sz w:val="22"/>
          <w:szCs w:val="22"/>
        </w:rPr>
        <w:t>2024 Schools Forum meeting, the Chair aske</w:t>
      </w:r>
      <w:r w:rsidR="005B2E49">
        <w:rPr>
          <w:sz w:val="22"/>
          <w:szCs w:val="22"/>
        </w:rPr>
        <w:t xml:space="preserve">d what would happen to the </w:t>
      </w:r>
      <w:r w:rsidR="009045F9" w:rsidRPr="004B4C59">
        <w:rPr>
          <w:sz w:val="22"/>
          <w:szCs w:val="22"/>
        </w:rPr>
        <w:t xml:space="preserve">underspend </w:t>
      </w:r>
      <w:r w:rsidR="00B64994" w:rsidRPr="004B4C59">
        <w:rPr>
          <w:sz w:val="22"/>
          <w:szCs w:val="22"/>
        </w:rPr>
        <w:t xml:space="preserve">and </w:t>
      </w:r>
      <w:r w:rsidR="00642D8B">
        <w:rPr>
          <w:sz w:val="22"/>
          <w:szCs w:val="22"/>
        </w:rPr>
        <w:t xml:space="preserve">a reply was communicated </w:t>
      </w:r>
      <w:r w:rsidR="00B31B72">
        <w:rPr>
          <w:sz w:val="22"/>
          <w:szCs w:val="22"/>
        </w:rPr>
        <w:t xml:space="preserve">by Schools Finance </w:t>
      </w:r>
      <w:r w:rsidR="00642D8B">
        <w:rPr>
          <w:sz w:val="22"/>
          <w:szCs w:val="22"/>
        </w:rPr>
        <w:t xml:space="preserve">stating </w:t>
      </w:r>
      <w:r w:rsidR="001D6A92" w:rsidRPr="004B4C59">
        <w:rPr>
          <w:sz w:val="22"/>
          <w:szCs w:val="22"/>
        </w:rPr>
        <w:t xml:space="preserve">that the underspend </w:t>
      </w:r>
      <w:r w:rsidR="004B4C59" w:rsidRPr="004B4C59">
        <w:rPr>
          <w:rFonts w:cs="Arial"/>
          <w:sz w:val="22"/>
          <w:szCs w:val="22"/>
        </w:rPr>
        <w:t>across all</w:t>
      </w:r>
      <w:r w:rsidR="000712B0">
        <w:rPr>
          <w:rFonts w:cs="Arial"/>
          <w:sz w:val="22"/>
          <w:szCs w:val="22"/>
        </w:rPr>
        <w:t xml:space="preserve"> four</w:t>
      </w:r>
      <w:r w:rsidR="004B4C59" w:rsidRPr="004B4C59">
        <w:rPr>
          <w:rFonts w:cs="Arial"/>
          <w:sz w:val="22"/>
          <w:szCs w:val="22"/>
        </w:rPr>
        <w:t xml:space="preserve"> D</w:t>
      </w:r>
      <w:r w:rsidR="00642D8B">
        <w:rPr>
          <w:rFonts w:cs="Arial"/>
          <w:sz w:val="22"/>
          <w:szCs w:val="22"/>
        </w:rPr>
        <w:t xml:space="preserve">edicated Schools Grant </w:t>
      </w:r>
      <w:r w:rsidR="000712B0">
        <w:rPr>
          <w:rFonts w:cs="Arial"/>
          <w:sz w:val="22"/>
          <w:szCs w:val="22"/>
        </w:rPr>
        <w:t>(DSG)</w:t>
      </w:r>
      <w:r w:rsidR="004B4C59" w:rsidRPr="004B4C59">
        <w:rPr>
          <w:rFonts w:cs="Arial"/>
          <w:sz w:val="22"/>
          <w:szCs w:val="22"/>
        </w:rPr>
        <w:t xml:space="preserve"> blocks would offset the overspend in the </w:t>
      </w:r>
      <w:r w:rsidR="00642D8B">
        <w:rPr>
          <w:rFonts w:cs="Arial"/>
          <w:sz w:val="22"/>
          <w:szCs w:val="22"/>
        </w:rPr>
        <w:t xml:space="preserve">DSG </w:t>
      </w:r>
      <w:r w:rsidR="004B4C59" w:rsidRPr="004B4C59">
        <w:rPr>
          <w:rFonts w:cs="Arial"/>
          <w:sz w:val="22"/>
          <w:szCs w:val="22"/>
        </w:rPr>
        <w:t>High Needs Block</w:t>
      </w:r>
      <w:r w:rsidR="007E65BB">
        <w:rPr>
          <w:rFonts w:cs="Arial"/>
          <w:sz w:val="22"/>
          <w:szCs w:val="22"/>
        </w:rPr>
        <w:t>.</w:t>
      </w:r>
    </w:p>
    <w:p w14:paraId="6EA0A71B" w14:textId="77777777" w:rsidR="009E5F18" w:rsidRDefault="009E5F18" w:rsidP="00DD2615">
      <w:pPr>
        <w:widowControl w:val="0"/>
        <w:autoSpaceDE w:val="0"/>
        <w:autoSpaceDN w:val="0"/>
        <w:adjustRightInd w:val="0"/>
        <w:ind w:left="720" w:hanging="720"/>
        <w:rPr>
          <w:rFonts w:cs="Arial"/>
          <w:sz w:val="22"/>
          <w:szCs w:val="22"/>
        </w:rPr>
      </w:pPr>
    </w:p>
    <w:p w14:paraId="35CF872B" w14:textId="77777777" w:rsidR="00E800DB" w:rsidRDefault="00E800DB" w:rsidP="00DD2615">
      <w:pPr>
        <w:widowControl w:val="0"/>
        <w:autoSpaceDE w:val="0"/>
        <w:autoSpaceDN w:val="0"/>
        <w:adjustRightInd w:val="0"/>
        <w:ind w:left="720" w:hanging="720"/>
        <w:rPr>
          <w:rFonts w:cs="Arial"/>
          <w:sz w:val="22"/>
          <w:szCs w:val="22"/>
        </w:rPr>
      </w:pPr>
    </w:p>
    <w:p w14:paraId="59FB9B7D" w14:textId="54036E78" w:rsidR="004B4C59" w:rsidRDefault="009E5F18" w:rsidP="00DD2615">
      <w:pPr>
        <w:widowControl w:val="0"/>
        <w:autoSpaceDE w:val="0"/>
        <w:autoSpaceDN w:val="0"/>
        <w:adjustRightInd w:val="0"/>
        <w:ind w:left="720" w:hanging="720"/>
        <w:rPr>
          <w:rFonts w:cs="Arial"/>
          <w:b/>
          <w:bCs/>
          <w:sz w:val="22"/>
          <w:szCs w:val="22"/>
        </w:rPr>
      </w:pPr>
      <w:r w:rsidRPr="009E5F18">
        <w:rPr>
          <w:rFonts w:cs="Arial"/>
          <w:b/>
          <w:bCs/>
          <w:sz w:val="22"/>
          <w:szCs w:val="22"/>
        </w:rPr>
        <w:t>3</w:t>
      </w:r>
      <w:r w:rsidRPr="009E5F18">
        <w:rPr>
          <w:rFonts w:cs="Arial"/>
          <w:b/>
          <w:bCs/>
          <w:sz w:val="22"/>
          <w:szCs w:val="22"/>
        </w:rPr>
        <w:tab/>
        <w:t>2024-2025 Contingency Fund Budget and Outturn Position</w:t>
      </w:r>
      <w:r w:rsidR="004B4C59" w:rsidRPr="009E5F18">
        <w:rPr>
          <w:rFonts w:cs="Arial"/>
          <w:b/>
          <w:bCs/>
          <w:sz w:val="22"/>
          <w:szCs w:val="22"/>
        </w:rPr>
        <w:t xml:space="preserve"> </w:t>
      </w:r>
    </w:p>
    <w:p w14:paraId="71ABE17B" w14:textId="77777777" w:rsidR="009E5F18" w:rsidRDefault="009E5F18" w:rsidP="00DD2615">
      <w:pPr>
        <w:widowControl w:val="0"/>
        <w:autoSpaceDE w:val="0"/>
        <w:autoSpaceDN w:val="0"/>
        <w:adjustRightInd w:val="0"/>
        <w:ind w:left="720" w:hanging="720"/>
        <w:rPr>
          <w:rFonts w:cs="Arial"/>
          <w:b/>
          <w:bCs/>
          <w:sz w:val="22"/>
          <w:szCs w:val="22"/>
        </w:rPr>
      </w:pPr>
    </w:p>
    <w:p w14:paraId="1F67F45B" w14:textId="5EB55E58" w:rsidR="009E5F18" w:rsidRDefault="002773FD" w:rsidP="009E5F18">
      <w:pPr>
        <w:pStyle w:val="NoSpacing"/>
        <w:ind w:left="720" w:hanging="720"/>
        <w:rPr>
          <w:sz w:val="22"/>
          <w:szCs w:val="22"/>
        </w:rPr>
      </w:pPr>
      <w:r w:rsidRPr="002773FD">
        <w:rPr>
          <w:rFonts w:cs="Arial"/>
          <w:sz w:val="22"/>
          <w:szCs w:val="22"/>
        </w:rPr>
        <w:t>3.1</w:t>
      </w:r>
      <w:r w:rsidR="009E5F18">
        <w:rPr>
          <w:rFonts w:cs="Arial"/>
          <w:b/>
          <w:bCs/>
          <w:sz w:val="22"/>
          <w:szCs w:val="22"/>
        </w:rPr>
        <w:tab/>
      </w:r>
      <w:r w:rsidR="009E5F18">
        <w:rPr>
          <w:sz w:val="22"/>
          <w:szCs w:val="22"/>
        </w:rPr>
        <w:t>The agreed rate per pupil agreed with Schools Forum to be charged to mainstream schools via de-delegation was £1</w:t>
      </w:r>
      <w:r w:rsidR="005B564D">
        <w:rPr>
          <w:sz w:val="22"/>
          <w:szCs w:val="22"/>
        </w:rPr>
        <w:t>6.19</w:t>
      </w:r>
      <w:r w:rsidR="009E5F18">
        <w:rPr>
          <w:sz w:val="22"/>
          <w:szCs w:val="22"/>
        </w:rPr>
        <w:t xml:space="preserve"> per pupil for both primary and secondary schools,</w:t>
      </w:r>
      <w:r w:rsidR="005B564D">
        <w:rPr>
          <w:sz w:val="22"/>
          <w:szCs w:val="22"/>
        </w:rPr>
        <w:t xml:space="preserve"> </w:t>
      </w:r>
      <w:r w:rsidR="009E5F18">
        <w:rPr>
          <w:sz w:val="22"/>
          <w:szCs w:val="22"/>
        </w:rPr>
        <w:t>creating a total contingency fund budget of £4</w:t>
      </w:r>
      <w:r w:rsidR="005B564D">
        <w:rPr>
          <w:sz w:val="22"/>
          <w:szCs w:val="22"/>
        </w:rPr>
        <w:t>39</w:t>
      </w:r>
      <w:r w:rsidR="00591F08">
        <w:rPr>
          <w:sz w:val="22"/>
          <w:szCs w:val="22"/>
        </w:rPr>
        <w:t>,</w:t>
      </w:r>
      <w:r w:rsidR="005B564D">
        <w:rPr>
          <w:sz w:val="22"/>
          <w:szCs w:val="22"/>
        </w:rPr>
        <w:t>607</w:t>
      </w:r>
      <w:r w:rsidR="009E5F18">
        <w:rPr>
          <w:sz w:val="22"/>
          <w:szCs w:val="22"/>
        </w:rPr>
        <w:t xml:space="preserve"> for 202</w:t>
      </w:r>
      <w:r w:rsidR="005B564D">
        <w:rPr>
          <w:sz w:val="22"/>
          <w:szCs w:val="22"/>
        </w:rPr>
        <w:t>4</w:t>
      </w:r>
      <w:r w:rsidR="009E5F18">
        <w:rPr>
          <w:sz w:val="22"/>
          <w:szCs w:val="22"/>
        </w:rPr>
        <w:t>-202</w:t>
      </w:r>
      <w:r w:rsidR="005B564D">
        <w:rPr>
          <w:sz w:val="22"/>
          <w:szCs w:val="22"/>
        </w:rPr>
        <w:t>5</w:t>
      </w:r>
      <w:r w:rsidR="009E5F18">
        <w:rPr>
          <w:sz w:val="22"/>
          <w:szCs w:val="22"/>
        </w:rPr>
        <w:t xml:space="preserve"> to be managed by the local authority on behalf of Schools Forum.</w:t>
      </w:r>
    </w:p>
    <w:p w14:paraId="318C03B7" w14:textId="77777777" w:rsidR="002773FD" w:rsidRDefault="002773FD" w:rsidP="009E5F18">
      <w:pPr>
        <w:pStyle w:val="NoSpacing"/>
        <w:ind w:left="720" w:hanging="720"/>
        <w:rPr>
          <w:sz w:val="22"/>
          <w:szCs w:val="22"/>
        </w:rPr>
      </w:pPr>
    </w:p>
    <w:p w14:paraId="737AD905" w14:textId="2511DA64" w:rsidR="002773FD" w:rsidRDefault="002773FD" w:rsidP="009E5F18">
      <w:pPr>
        <w:pStyle w:val="NoSpacing"/>
        <w:ind w:left="720" w:hanging="720"/>
        <w:rPr>
          <w:sz w:val="22"/>
          <w:szCs w:val="22"/>
        </w:rPr>
      </w:pPr>
      <w:r>
        <w:rPr>
          <w:sz w:val="22"/>
          <w:szCs w:val="22"/>
        </w:rPr>
        <w:t>3.2</w:t>
      </w:r>
      <w:r>
        <w:rPr>
          <w:sz w:val="22"/>
          <w:szCs w:val="22"/>
        </w:rPr>
        <w:tab/>
      </w:r>
      <w:r w:rsidR="004F6D28">
        <w:rPr>
          <w:sz w:val="22"/>
          <w:szCs w:val="22"/>
        </w:rPr>
        <w:t xml:space="preserve">Contingency Fund </w:t>
      </w:r>
      <w:r w:rsidR="0010704F">
        <w:rPr>
          <w:sz w:val="22"/>
          <w:szCs w:val="22"/>
        </w:rPr>
        <w:t>Expe</w:t>
      </w:r>
      <w:r w:rsidR="004F6D28">
        <w:rPr>
          <w:sz w:val="22"/>
          <w:szCs w:val="22"/>
        </w:rPr>
        <w:t>n</w:t>
      </w:r>
      <w:r w:rsidR="0010704F">
        <w:rPr>
          <w:sz w:val="22"/>
          <w:szCs w:val="22"/>
        </w:rPr>
        <w:t xml:space="preserve">diture </w:t>
      </w:r>
      <w:r w:rsidR="004F6D28">
        <w:rPr>
          <w:sz w:val="22"/>
          <w:szCs w:val="22"/>
        </w:rPr>
        <w:t xml:space="preserve">for 2024-2025 </w:t>
      </w:r>
      <w:r w:rsidR="00793AAF">
        <w:rPr>
          <w:sz w:val="22"/>
          <w:szCs w:val="22"/>
        </w:rPr>
        <w:t xml:space="preserve">will </w:t>
      </w:r>
      <w:r w:rsidR="00A01619">
        <w:rPr>
          <w:sz w:val="22"/>
          <w:szCs w:val="22"/>
        </w:rPr>
        <w:t>include</w:t>
      </w:r>
      <w:r w:rsidR="00EE2019">
        <w:rPr>
          <w:sz w:val="22"/>
          <w:szCs w:val="22"/>
        </w:rPr>
        <w:t>:</w:t>
      </w:r>
    </w:p>
    <w:p w14:paraId="7D473831" w14:textId="77777777" w:rsidR="00A01619" w:rsidRDefault="00A01619" w:rsidP="009E5F18">
      <w:pPr>
        <w:pStyle w:val="NoSpacing"/>
        <w:ind w:left="720" w:hanging="720"/>
        <w:rPr>
          <w:sz w:val="22"/>
          <w:szCs w:val="22"/>
        </w:rPr>
      </w:pPr>
    </w:p>
    <w:p w14:paraId="4EE30DC6" w14:textId="77777777" w:rsidR="00793AAF" w:rsidRDefault="00793AAF" w:rsidP="00277902">
      <w:pPr>
        <w:pStyle w:val="NoSpacing"/>
        <w:numPr>
          <w:ilvl w:val="0"/>
          <w:numId w:val="5"/>
        </w:numPr>
        <w:rPr>
          <w:sz w:val="22"/>
          <w:szCs w:val="22"/>
        </w:rPr>
      </w:pPr>
      <w:r w:rsidRPr="00793AAF">
        <w:rPr>
          <w:sz w:val="22"/>
          <w:szCs w:val="22"/>
        </w:rPr>
        <w:t>Schools Sustainability Group e</w:t>
      </w:r>
      <w:r w:rsidR="00343D1D" w:rsidRPr="00793AAF">
        <w:rPr>
          <w:sz w:val="22"/>
          <w:szCs w:val="22"/>
        </w:rPr>
        <w:t>xternal consultancy fees</w:t>
      </w:r>
    </w:p>
    <w:p w14:paraId="2ED272FA" w14:textId="014BAAC6" w:rsidR="00A01619" w:rsidRPr="00793AAF" w:rsidRDefault="00A01619" w:rsidP="00277902">
      <w:pPr>
        <w:pStyle w:val="NoSpacing"/>
        <w:numPr>
          <w:ilvl w:val="0"/>
          <w:numId w:val="5"/>
        </w:numPr>
        <w:rPr>
          <w:sz w:val="22"/>
          <w:szCs w:val="22"/>
        </w:rPr>
      </w:pPr>
      <w:r w:rsidRPr="00793AAF">
        <w:rPr>
          <w:sz w:val="22"/>
          <w:szCs w:val="22"/>
        </w:rPr>
        <w:t xml:space="preserve">Early </w:t>
      </w:r>
      <w:r w:rsidR="00691C1F" w:rsidRPr="00793AAF">
        <w:rPr>
          <w:sz w:val="22"/>
          <w:szCs w:val="22"/>
        </w:rPr>
        <w:t>r</w:t>
      </w:r>
      <w:r w:rsidRPr="00793AAF">
        <w:rPr>
          <w:sz w:val="22"/>
          <w:szCs w:val="22"/>
        </w:rPr>
        <w:t xml:space="preserve">etirement </w:t>
      </w:r>
      <w:r w:rsidR="00691C1F" w:rsidRPr="00793AAF">
        <w:rPr>
          <w:sz w:val="22"/>
          <w:szCs w:val="22"/>
        </w:rPr>
        <w:t>o</w:t>
      </w:r>
      <w:r w:rsidRPr="00793AAF">
        <w:rPr>
          <w:sz w:val="22"/>
          <w:szCs w:val="22"/>
        </w:rPr>
        <w:t xml:space="preserve">ngoing </w:t>
      </w:r>
      <w:r w:rsidR="00691C1F" w:rsidRPr="00793AAF">
        <w:rPr>
          <w:sz w:val="22"/>
          <w:szCs w:val="22"/>
        </w:rPr>
        <w:t>c</w:t>
      </w:r>
      <w:r w:rsidRPr="00793AAF">
        <w:rPr>
          <w:sz w:val="22"/>
          <w:szCs w:val="22"/>
        </w:rPr>
        <w:t>osts (</w:t>
      </w:r>
      <w:r w:rsidR="00691C1F" w:rsidRPr="00793AAF">
        <w:rPr>
          <w:sz w:val="22"/>
          <w:szCs w:val="22"/>
        </w:rPr>
        <w:t>p</w:t>
      </w:r>
      <w:r w:rsidRPr="00793AAF">
        <w:rPr>
          <w:sz w:val="22"/>
          <w:szCs w:val="22"/>
        </w:rPr>
        <w:t xml:space="preserve">ension </w:t>
      </w:r>
      <w:r w:rsidR="00691C1F" w:rsidRPr="00793AAF">
        <w:rPr>
          <w:sz w:val="22"/>
          <w:szCs w:val="22"/>
        </w:rPr>
        <w:t>s</w:t>
      </w:r>
      <w:r w:rsidRPr="00793AAF">
        <w:rPr>
          <w:sz w:val="22"/>
          <w:szCs w:val="22"/>
        </w:rPr>
        <w:t>train)</w:t>
      </w:r>
    </w:p>
    <w:p w14:paraId="4427143A" w14:textId="0905F4B1" w:rsidR="00921F89" w:rsidRDefault="00FF7636" w:rsidP="00277902">
      <w:pPr>
        <w:pStyle w:val="NoSpacing"/>
        <w:numPr>
          <w:ilvl w:val="0"/>
          <w:numId w:val="5"/>
        </w:numPr>
        <w:rPr>
          <w:sz w:val="22"/>
          <w:szCs w:val="22"/>
        </w:rPr>
      </w:pPr>
      <w:r>
        <w:rPr>
          <w:sz w:val="22"/>
          <w:szCs w:val="22"/>
        </w:rPr>
        <w:t xml:space="preserve">Professional </w:t>
      </w:r>
      <w:r w:rsidR="00691C1F">
        <w:rPr>
          <w:sz w:val="22"/>
          <w:szCs w:val="22"/>
        </w:rPr>
        <w:t>f</w:t>
      </w:r>
      <w:r>
        <w:rPr>
          <w:sz w:val="22"/>
          <w:szCs w:val="22"/>
        </w:rPr>
        <w:t xml:space="preserve">ees - </w:t>
      </w:r>
      <w:r w:rsidR="00691C1F">
        <w:rPr>
          <w:sz w:val="22"/>
          <w:szCs w:val="22"/>
        </w:rPr>
        <w:t>p</w:t>
      </w:r>
      <w:r>
        <w:rPr>
          <w:sz w:val="22"/>
          <w:szCs w:val="22"/>
        </w:rPr>
        <w:t xml:space="preserve">ost 16 </w:t>
      </w:r>
      <w:r w:rsidR="00691C1F">
        <w:rPr>
          <w:sz w:val="22"/>
          <w:szCs w:val="22"/>
        </w:rPr>
        <w:t>r</w:t>
      </w:r>
      <w:r>
        <w:rPr>
          <w:sz w:val="22"/>
          <w:szCs w:val="22"/>
        </w:rPr>
        <w:t xml:space="preserve">eview </w:t>
      </w:r>
    </w:p>
    <w:p w14:paraId="681798CA" w14:textId="77777777" w:rsidR="00DE2C23" w:rsidRDefault="00DE2C23" w:rsidP="00DE2C23">
      <w:pPr>
        <w:pStyle w:val="NoSpacing"/>
        <w:rPr>
          <w:sz w:val="22"/>
          <w:szCs w:val="22"/>
        </w:rPr>
      </w:pPr>
    </w:p>
    <w:p w14:paraId="39C8FB93" w14:textId="77777777" w:rsidR="00591F08" w:rsidRDefault="00DE2C23" w:rsidP="00101AD3">
      <w:pPr>
        <w:pStyle w:val="NoSpacing"/>
        <w:ind w:left="720" w:hanging="720"/>
        <w:rPr>
          <w:sz w:val="22"/>
          <w:szCs w:val="22"/>
        </w:rPr>
      </w:pPr>
      <w:r>
        <w:rPr>
          <w:sz w:val="22"/>
          <w:szCs w:val="22"/>
        </w:rPr>
        <w:t>3.3</w:t>
      </w:r>
      <w:r>
        <w:rPr>
          <w:sz w:val="22"/>
          <w:szCs w:val="22"/>
        </w:rPr>
        <w:tab/>
      </w:r>
      <w:r w:rsidR="00310BDE">
        <w:rPr>
          <w:sz w:val="22"/>
          <w:szCs w:val="22"/>
        </w:rPr>
        <w:t>In t</w:t>
      </w:r>
      <w:r w:rsidR="007E212F">
        <w:rPr>
          <w:sz w:val="22"/>
          <w:szCs w:val="22"/>
        </w:rPr>
        <w:t xml:space="preserve">he minutes of the </w:t>
      </w:r>
      <w:r w:rsidR="00F23529">
        <w:rPr>
          <w:sz w:val="22"/>
          <w:szCs w:val="22"/>
        </w:rPr>
        <w:t>June 2024 Schools Forum meeting</w:t>
      </w:r>
      <w:r w:rsidR="00310BDE">
        <w:rPr>
          <w:sz w:val="22"/>
          <w:szCs w:val="22"/>
        </w:rPr>
        <w:t xml:space="preserve">, it was stated that </w:t>
      </w:r>
      <w:r w:rsidR="00B73AFD">
        <w:rPr>
          <w:sz w:val="22"/>
          <w:szCs w:val="22"/>
        </w:rPr>
        <w:t xml:space="preserve">it was anticipated that the </w:t>
      </w:r>
      <w:r w:rsidR="00FB20DB">
        <w:rPr>
          <w:sz w:val="22"/>
          <w:szCs w:val="22"/>
        </w:rPr>
        <w:t xml:space="preserve">expenditure </w:t>
      </w:r>
      <w:r w:rsidR="009D6A61">
        <w:rPr>
          <w:sz w:val="22"/>
          <w:szCs w:val="22"/>
        </w:rPr>
        <w:t>would be higher for 2024-2025</w:t>
      </w:r>
      <w:r w:rsidR="005A6E33">
        <w:rPr>
          <w:sz w:val="22"/>
          <w:szCs w:val="22"/>
        </w:rPr>
        <w:t>.</w:t>
      </w:r>
    </w:p>
    <w:p w14:paraId="26920B3C" w14:textId="12C2BEAF" w:rsidR="009F6740" w:rsidRDefault="009F6740">
      <w:pPr>
        <w:rPr>
          <w:sz w:val="22"/>
          <w:szCs w:val="22"/>
        </w:rPr>
      </w:pPr>
      <w:r>
        <w:rPr>
          <w:sz w:val="22"/>
          <w:szCs w:val="22"/>
        </w:rPr>
        <w:br w:type="page"/>
      </w:r>
    </w:p>
    <w:p w14:paraId="6F9C164D" w14:textId="3B8E5D96" w:rsidR="00336299" w:rsidRDefault="00591F08" w:rsidP="00101AD3">
      <w:pPr>
        <w:pStyle w:val="NoSpacing"/>
        <w:ind w:left="720" w:hanging="720"/>
        <w:rPr>
          <w:sz w:val="22"/>
          <w:szCs w:val="22"/>
        </w:rPr>
      </w:pPr>
      <w:r>
        <w:rPr>
          <w:sz w:val="22"/>
          <w:szCs w:val="22"/>
        </w:rPr>
        <w:lastRenderedPageBreak/>
        <w:t>3.4</w:t>
      </w:r>
      <w:r>
        <w:rPr>
          <w:sz w:val="22"/>
          <w:szCs w:val="22"/>
        </w:rPr>
        <w:tab/>
      </w:r>
      <w:r w:rsidR="00B46324">
        <w:rPr>
          <w:sz w:val="22"/>
          <w:szCs w:val="22"/>
        </w:rPr>
        <w:t>Projected expenditure for 2024-2025 is currently £</w:t>
      </w:r>
      <w:r w:rsidR="001559D1">
        <w:rPr>
          <w:sz w:val="22"/>
          <w:szCs w:val="22"/>
        </w:rPr>
        <w:t>2</w:t>
      </w:r>
      <w:r w:rsidR="00B415F5">
        <w:rPr>
          <w:sz w:val="22"/>
          <w:szCs w:val="22"/>
        </w:rPr>
        <w:t>31,927</w:t>
      </w:r>
      <w:r w:rsidR="00256D5C">
        <w:rPr>
          <w:sz w:val="22"/>
          <w:szCs w:val="22"/>
        </w:rPr>
        <w:t xml:space="preserve">, resulting in a projected underspend of </w:t>
      </w:r>
      <w:r w:rsidR="00DF6235">
        <w:rPr>
          <w:sz w:val="22"/>
          <w:szCs w:val="22"/>
        </w:rPr>
        <w:t>£2</w:t>
      </w:r>
      <w:r w:rsidR="00B415F5">
        <w:rPr>
          <w:sz w:val="22"/>
          <w:szCs w:val="22"/>
        </w:rPr>
        <w:t>07,680</w:t>
      </w:r>
      <w:r w:rsidR="00DF6235">
        <w:rPr>
          <w:sz w:val="22"/>
          <w:szCs w:val="22"/>
        </w:rPr>
        <w:t>.</w:t>
      </w:r>
    </w:p>
    <w:p w14:paraId="2D8C82D1" w14:textId="77777777" w:rsidR="00336299" w:rsidRDefault="00336299" w:rsidP="00101AD3">
      <w:pPr>
        <w:pStyle w:val="NoSpacing"/>
        <w:ind w:left="720" w:hanging="720"/>
        <w:rPr>
          <w:sz w:val="22"/>
          <w:szCs w:val="22"/>
        </w:rPr>
      </w:pPr>
    </w:p>
    <w:p w14:paraId="03E15907" w14:textId="52875E35" w:rsidR="00336299" w:rsidRDefault="00336299" w:rsidP="00101AD3">
      <w:pPr>
        <w:pStyle w:val="NoSpacing"/>
        <w:ind w:left="720" w:hanging="720"/>
        <w:rPr>
          <w:sz w:val="22"/>
          <w:szCs w:val="22"/>
        </w:rPr>
      </w:pPr>
      <w:r>
        <w:rPr>
          <w:sz w:val="22"/>
          <w:szCs w:val="22"/>
        </w:rPr>
        <w:t>3.</w:t>
      </w:r>
      <w:r w:rsidR="00C61021">
        <w:rPr>
          <w:sz w:val="22"/>
          <w:szCs w:val="22"/>
        </w:rPr>
        <w:t>5</w:t>
      </w:r>
      <w:r>
        <w:rPr>
          <w:sz w:val="22"/>
          <w:szCs w:val="22"/>
        </w:rPr>
        <w:tab/>
        <w:t>The nature of a contingency fund is to fund unforeseen expenditure, so</w:t>
      </w:r>
      <w:r w:rsidR="008E10E2">
        <w:rPr>
          <w:sz w:val="22"/>
          <w:szCs w:val="22"/>
        </w:rPr>
        <w:t xml:space="preserve"> it is advised that a degree of caution is undertaken when considering the in-year projections quoted.</w:t>
      </w:r>
    </w:p>
    <w:p w14:paraId="79EDDAE8" w14:textId="77777777" w:rsidR="004A1F79" w:rsidRDefault="004A1F79" w:rsidP="00101AD3">
      <w:pPr>
        <w:pStyle w:val="NoSpacing"/>
        <w:ind w:left="720" w:hanging="720"/>
        <w:rPr>
          <w:sz w:val="22"/>
          <w:szCs w:val="22"/>
        </w:rPr>
      </w:pPr>
    </w:p>
    <w:p w14:paraId="0C77D97D" w14:textId="5BB982B5" w:rsidR="004A1F79" w:rsidRDefault="004A1F79" w:rsidP="00101AD3">
      <w:pPr>
        <w:pStyle w:val="NoSpacing"/>
        <w:ind w:left="720" w:hanging="720"/>
        <w:rPr>
          <w:sz w:val="22"/>
          <w:szCs w:val="22"/>
        </w:rPr>
      </w:pPr>
      <w:r>
        <w:rPr>
          <w:sz w:val="22"/>
          <w:szCs w:val="22"/>
        </w:rPr>
        <w:t>3.6</w:t>
      </w:r>
      <w:r>
        <w:rPr>
          <w:sz w:val="22"/>
          <w:szCs w:val="22"/>
        </w:rPr>
        <w:tab/>
        <w:t xml:space="preserve">With regards to the </w:t>
      </w:r>
      <w:r w:rsidR="005D2A8B">
        <w:rPr>
          <w:sz w:val="22"/>
          <w:szCs w:val="22"/>
        </w:rPr>
        <w:t>deficit on the High Needs Block</w:t>
      </w:r>
      <w:r w:rsidR="0077418B">
        <w:rPr>
          <w:sz w:val="22"/>
          <w:szCs w:val="22"/>
        </w:rPr>
        <w:t xml:space="preserve"> which is pertinent to most local authorities</w:t>
      </w:r>
      <w:r w:rsidR="005D2A8B">
        <w:rPr>
          <w:sz w:val="22"/>
          <w:szCs w:val="22"/>
        </w:rPr>
        <w:t>, the Local Authority and schools</w:t>
      </w:r>
      <w:r w:rsidR="00573B78">
        <w:rPr>
          <w:sz w:val="22"/>
          <w:szCs w:val="22"/>
        </w:rPr>
        <w:t xml:space="preserve"> via the DSG allocation</w:t>
      </w:r>
      <w:r w:rsidR="005D2A8B">
        <w:rPr>
          <w:sz w:val="22"/>
          <w:szCs w:val="22"/>
        </w:rPr>
        <w:t xml:space="preserve"> have a collective responsibility to</w:t>
      </w:r>
      <w:r w:rsidR="00573B78">
        <w:rPr>
          <w:sz w:val="22"/>
          <w:szCs w:val="22"/>
        </w:rPr>
        <w:t xml:space="preserve"> </w:t>
      </w:r>
      <w:r w:rsidR="001B3891">
        <w:rPr>
          <w:sz w:val="22"/>
          <w:szCs w:val="22"/>
        </w:rPr>
        <w:t xml:space="preserve">attempt to provide solutions to mitigate the </w:t>
      </w:r>
      <w:r w:rsidR="000E0D84">
        <w:rPr>
          <w:sz w:val="22"/>
          <w:szCs w:val="22"/>
        </w:rPr>
        <w:t>overspend and deficit.</w:t>
      </w:r>
      <w:r w:rsidR="005D2A8B">
        <w:rPr>
          <w:sz w:val="22"/>
          <w:szCs w:val="22"/>
        </w:rPr>
        <w:t xml:space="preserve"> </w:t>
      </w:r>
    </w:p>
    <w:p w14:paraId="5ED1FD44" w14:textId="77777777" w:rsidR="00336299" w:rsidRDefault="00336299" w:rsidP="00101AD3">
      <w:pPr>
        <w:pStyle w:val="NoSpacing"/>
        <w:ind w:left="720" w:hanging="720"/>
        <w:rPr>
          <w:sz w:val="22"/>
          <w:szCs w:val="22"/>
        </w:rPr>
      </w:pPr>
    </w:p>
    <w:p w14:paraId="0B2C0171" w14:textId="1936ACB1" w:rsidR="000E0D84" w:rsidRDefault="00336299" w:rsidP="007F659D">
      <w:pPr>
        <w:pStyle w:val="NoSpacing"/>
        <w:ind w:left="720" w:hanging="720"/>
        <w:rPr>
          <w:sz w:val="22"/>
          <w:szCs w:val="22"/>
        </w:rPr>
      </w:pPr>
      <w:r>
        <w:rPr>
          <w:sz w:val="22"/>
          <w:szCs w:val="22"/>
        </w:rPr>
        <w:t>3.</w:t>
      </w:r>
      <w:r w:rsidR="009A2B43">
        <w:rPr>
          <w:sz w:val="22"/>
          <w:szCs w:val="22"/>
        </w:rPr>
        <w:t>7</w:t>
      </w:r>
      <w:r>
        <w:rPr>
          <w:sz w:val="22"/>
          <w:szCs w:val="22"/>
        </w:rPr>
        <w:tab/>
      </w:r>
      <w:r w:rsidR="00264A76">
        <w:rPr>
          <w:sz w:val="22"/>
          <w:szCs w:val="22"/>
        </w:rPr>
        <w:t xml:space="preserve">The </w:t>
      </w:r>
      <w:r w:rsidR="00893C99">
        <w:rPr>
          <w:sz w:val="22"/>
          <w:szCs w:val="22"/>
        </w:rPr>
        <w:t xml:space="preserve">combined revenue surplus of </w:t>
      </w:r>
      <w:r w:rsidR="00707765">
        <w:rPr>
          <w:sz w:val="22"/>
          <w:szCs w:val="22"/>
        </w:rPr>
        <w:t xml:space="preserve">the 74 </w:t>
      </w:r>
      <w:r w:rsidR="00893C99">
        <w:rPr>
          <w:sz w:val="22"/>
          <w:szCs w:val="22"/>
        </w:rPr>
        <w:t xml:space="preserve">maintained schools in the London Borough of Tower Hamlets </w:t>
      </w:r>
      <w:proofErr w:type="gramStart"/>
      <w:r w:rsidR="00893C99">
        <w:rPr>
          <w:sz w:val="22"/>
          <w:szCs w:val="22"/>
        </w:rPr>
        <w:t>at</w:t>
      </w:r>
      <w:proofErr w:type="gramEnd"/>
      <w:r w:rsidR="00893C99">
        <w:rPr>
          <w:sz w:val="22"/>
          <w:szCs w:val="22"/>
        </w:rPr>
        <w:t xml:space="preserve"> </w:t>
      </w:r>
      <w:r w:rsidR="00784340">
        <w:rPr>
          <w:sz w:val="22"/>
          <w:szCs w:val="22"/>
        </w:rPr>
        <w:t>31</w:t>
      </w:r>
      <w:r w:rsidR="00784340" w:rsidRPr="00784340">
        <w:rPr>
          <w:sz w:val="22"/>
          <w:szCs w:val="22"/>
          <w:vertAlign w:val="superscript"/>
        </w:rPr>
        <w:t>st</w:t>
      </w:r>
      <w:r w:rsidR="00784340">
        <w:rPr>
          <w:sz w:val="22"/>
          <w:szCs w:val="22"/>
        </w:rPr>
        <w:t xml:space="preserve"> March 2024 was £3</w:t>
      </w:r>
      <w:r w:rsidR="00B54714">
        <w:rPr>
          <w:sz w:val="22"/>
          <w:szCs w:val="22"/>
        </w:rPr>
        <w:t>2</w:t>
      </w:r>
      <w:r w:rsidR="00784340">
        <w:rPr>
          <w:sz w:val="22"/>
          <w:szCs w:val="22"/>
        </w:rPr>
        <w:t>.</w:t>
      </w:r>
      <w:r w:rsidR="00B54714">
        <w:rPr>
          <w:sz w:val="22"/>
          <w:szCs w:val="22"/>
        </w:rPr>
        <w:t>7</w:t>
      </w:r>
      <w:r w:rsidR="00784340">
        <w:rPr>
          <w:sz w:val="22"/>
          <w:szCs w:val="22"/>
        </w:rPr>
        <w:t xml:space="preserve"> million</w:t>
      </w:r>
      <w:r w:rsidR="004872FC">
        <w:rPr>
          <w:sz w:val="22"/>
          <w:szCs w:val="22"/>
        </w:rPr>
        <w:t xml:space="preserve">, despite </w:t>
      </w:r>
      <w:r w:rsidR="00707765">
        <w:rPr>
          <w:sz w:val="22"/>
          <w:szCs w:val="22"/>
        </w:rPr>
        <w:t>9</w:t>
      </w:r>
      <w:r w:rsidR="004872FC">
        <w:rPr>
          <w:sz w:val="22"/>
          <w:szCs w:val="22"/>
        </w:rPr>
        <w:t xml:space="preserve"> of those schools being</w:t>
      </w:r>
      <w:r w:rsidR="00707765">
        <w:rPr>
          <w:sz w:val="22"/>
          <w:szCs w:val="22"/>
        </w:rPr>
        <w:t xml:space="preserve"> in a deficit position. </w:t>
      </w:r>
      <w:r w:rsidR="006F6C92">
        <w:rPr>
          <w:sz w:val="22"/>
          <w:szCs w:val="22"/>
        </w:rPr>
        <w:t xml:space="preserve"> </w:t>
      </w:r>
      <w:r w:rsidR="00DD5422">
        <w:rPr>
          <w:sz w:val="22"/>
          <w:szCs w:val="22"/>
        </w:rPr>
        <w:t xml:space="preserve">It was found that </w:t>
      </w:r>
      <w:r w:rsidR="006F6C92">
        <w:rPr>
          <w:sz w:val="22"/>
          <w:szCs w:val="22"/>
        </w:rPr>
        <w:t xml:space="preserve">34 of the 74 schools were holding </w:t>
      </w:r>
      <w:r w:rsidR="00381830">
        <w:rPr>
          <w:sz w:val="22"/>
          <w:szCs w:val="22"/>
        </w:rPr>
        <w:t xml:space="preserve">excess </w:t>
      </w:r>
      <w:r w:rsidR="006F6C92">
        <w:rPr>
          <w:sz w:val="22"/>
          <w:szCs w:val="22"/>
        </w:rPr>
        <w:t xml:space="preserve">surpluses in </w:t>
      </w:r>
      <w:r w:rsidR="00381830">
        <w:rPr>
          <w:sz w:val="22"/>
          <w:szCs w:val="22"/>
        </w:rPr>
        <w:t xml:space="preserve">that they were holding reserves </w:t>
      </w:r>
      <w:proofErr w:type="gramStart"/>
      <w:r w:rsidR="00381830">
        <w:rPr>
          <w:sz w:val="22"/>
          <w:szCs w:val="22"/>
        </w:rPr>
        <w:t xml:space="preserve">in </w:t>
      </w:r>
      <w:r w:rsidR="006F6C92">
        <w:rPr>
          <w:sz w:val="22"/>
          <w:szCs w:val="22"/>
        </w:rPr>
        <w:t>excess of</w:t>
      </w:r>
      <w:proofErr w:type="gramEnd"/>
      <w:r w:rsidR="006F6C92">
        <w:rPr>
          <w:sz w:val="22"/>
          <w:szCs w:val="22"/>
        </w:rPr>
        <w:t xml:space="preserve"> 8% </w:t>
      </w:r>
      <w:r w:rsidR="00DD5422">
        <w:rPr>
          <w:sz w:val="22"/>
          <w:szCs w:val="22"/>
        </w:rPr>
        <w:t xml:space="preserve">of annual funding </w:t>
      </w:r>
      <w:r w:rsidR="006F6C92">
        <w:rPr>
          <w:sz w:val="22"/>
          <w:szCs w:val="22"/>
        </w:rPr>
        <w:t>for primaries and special schools and 5% for secondary schools</w:t>
      </w:r>
      <w:r w:rsidR="00381830">
        <w:rPr>
          <w:sz w:val="22"/>
          <w:szCs w:val="22"/>
        </w:rPr>
        <w:t xml:space="preserve">.  Under </w:t>
      </w:r>
      <w:r w:rsidR="004A1F79">
        <w:rPr>
          <w:sz w:val="22"/>
          <w:szCs w:val="22"/>
        </w:rPr>
        <w:t xml:space="preserve">DfE guidelines and </w:t>
      </w:r>
      <w:r w:rsidR="00381830">
        <w:rPr>
          <w:sz w:val="22"/>
          <w:szCs w:val="22"/>
        </w:rPr>
        <w:t>the Scheme for Financing Schools, the Local Authority has the option to claw</w:t>
      </w:r>
      <w:r w:rsidR="004A1F79">
        <w:rPr>
          <w:sz w:val="22"/>
          <w:szCs w:val="22"/>
        </w:rPr>
        <w:t xml:space="preserve"> this back.</w:t>
      </w:r>
    </w:p>
    <w:p w14:paraId="5F8D896F" w14:textId="77777777" w:rsidR="000E0D84" w:rsidRDefault="000E0D84" w:rsidP="007F659D">
      <w:pPr>
        <w:pStyle w:val="NoSpacing"/>
        <w:ind w:left="720" w:hanging="720"/>
        <w:rPr>
          <w:sz w:val="22"/>
          <w:szCs w:val="22"/>
        </w:rPr>
      </w:pPr>
    </w:p>
    <w:p w14:paraId="5C20E69B" w14:textId="10A38DB4" w:rsidR="000C776F" w:rsidRDefault="000E0D84" w:rsidP="005304AA">
      <w:pPr>
        <w:pStyle w:val="NoSpacing"/>
        <w:ind w:left="720" w:hanging="720"/>
        <w:rPr>
          <w:sz w:val="22"/>
          <w:szCs w:val="22"/>
        </w:rPr>
      </w:pPr>
      <w:r>
        <w:rPr>
          <w:sz w:val="22"/>
          <w:szCs w:val="22"/>
        </w:rPr>
        <w:t>3.</w:t>
      </w:r>
      <w:r w:rsidR="009A2B43">
        <w:rPr>
          <w:sz w:val="22"/>
          <w:szCs w:val="22"/>
        </w:rPr>
        <w:t>8</w:t>
      </w:r>
      <w:r>
        <w:rPr>
          <w:sz w:val="22"/>
          <w:szCs w:val="22"/>
        </w:rPr>
        <w:tab/>
        <w:t xml:space="preserve">The reduction or cessation of the de-delegated </w:t>
      </w:r>
      <w:proofErr w:type="gramStart"/>
      <w:r>
        <w:rPr>
          <w:sz w:val="22"/>
          <w:szCs w:val="22"/>
        </w:rPr>
        <w:t>schools</w:t>
      </w:r>
      <w:proofErr w:type="gramEnd"/>
      <w:r>
        <w:rPr>
          <w:sz w:val="22"/>
          <w:szCs w:val="22"/>
        </w:rPr>
        <w:t xml:space="preserve"> contingency budget would require the Local Authority to look at </w:t>
      </w:r>
      <w:r w:rsidR="00BA5692">
        <w:rPr>
          <w:sz w:val="22"/>
          <w:szCs w:val="22"/>
        </w:rPr>
        <w:t>all other options available to mitigate the overspend and deficit on the High Needs Block</w:t>
      </w:r>
      <w:r w:rsidR="005304AA">
        <w:rPr>
          <w:sz w:val="22"/>
          <w:szCs w:val="22"/>
        </w:rPr>
        <w:t xml:space="preserve"> in addition to the mitigations that are already being explored and undertaken.</w:t>
      </w:r>
    </w:p>
    <w:p w14:paraId="6305F46F" w14:textId="77777777" w:rsidR="000E0D84" w:rsidRDefault="000E0D84" w:rsidP="00340FE3">
      <w:pPr>
        <w:pStyle w:val="NoSpacing"/>
        <w:ind w:left="720"/>
        <w:rPr>
          <w:sz w:val="22"/>
          <w:szCs w:val="22"/>
        </w:rPr>
      </w:pPr>
    </w:p>
    <w:p w14:paraId="2F481271" w14:textId="77777777" w:rsidR="00101AD3" w:rsidRDefault="00101AD3" w:rsidP="00340FE3">
      <w:pPr>
        <w:pStyle w:val="NoSpacing"/>
        <w:ind w:left="1440" w:hanging="720"/>
        <w:rPr>
          <w:sz w:val="22"/>
          <w:szCs w:val="22"/>
        </w:rPr>
      </w:pPr>
    </w:p>
    <w:p w14:paraId="647A166F" w14:textId="22B1DCD1" w:rsidR="00445B2E" w:rsidRDefault="00445B2E" w:rsidP="00445B2E">
      <w:pPr>
        <w:pStyle w:val="NoSpacing"/>
        <w:ind w:left="720" w:hanging="720"/>
        <w:rPr>
          <w:b/>
          <w:bCs/>
          <w:sz w:val="22"/>
          <w:szCs w:val="22"/>
        </w:rPr>
      </w:pPr>
      <w:r w:rsidRPr="00445B2E">
        <w:rPr>
          <w:b/>
          <w:bCs/>
          <w:sz w:val="22"/>
          <w:szCs w:val="22"/>
        </w:rPr>
        <w:t>4</w:t>
      </w:r>
      <w:r w:rsidRPr="00445B2E">
        <w:rPr>
          <w:b/>
          <w:bCs/>
          <w:sz w:val="22"/>
          <w:szCs w:val="22"/>
        </w:rPr>
        <w:tab/>
        <w:t>2025-2026 Contingency Fund</w:t>
      </w:r>
    </w:p>
    <w:p w14:paraId="06D440FA" w14:textId="77777777" w:rsidR="00445B2E" w:rsidRDefault="00445B2E" w:rsidP="00445B2E">
      <w:pPr>
        <w:pStyle w:val="NoSpacing"/>
        <w:ind w:left="720" w:hanging="720"/>
        <w:rPr>
          <w:b/>
          <w:bCs/>
          <w:sz w:val="22"/>
          <w:szCs w:val="22"/>
        </w:rPr>
      </w:pPr>
    </w:p>
    <w:p w14:paraId="406DA085" w14:textId="06482D60" w:rsidR="00445B2E" w:rsidRDefault="00B723ED" w:rsidP="00B723ED">
      <w:pPr>
        <w:pStyle w:val="NoSpacing"/>
        <w:ind w:left="720" w:hanging="720"/>
        <w:rPr>
          <w:sz w:val="22"/>
          <w:szCs w:val="22"/>
        </w:rPr>
      </w:pPr>
      <w:r>
        <w:rPr>
          <w:sz w:val="22"/>
          <w:szCs w:val="22"/>
        </w:rPr>
        <w:t>4.1</w:t>
      </w:r>
      <w:r>
        <w:rPr>
          <w:sz w:val="22"/>
          <w:szCs w:val="22"/>
        </w:rPr>
        <w:tab/>
      </w:r>
      <w:r w:rsidR="0082093F">
        <w:rPr>
          <w:sz w:val="22"/>
          <w:szCs w:val="22"/>
        </w:rPr>
        <w:t xml:space="preserve">The National Funding Formula </w:t>
      </w:r>
      <w:r w:rsidR="00904C68">
        <w:rPr>
          <w:sz w:val="22"/>
          <w:szCs w:val="22"/>
        </w:rPr>
        <w:t xml:space="preserve">for schools </w:t>
      </w:r>
      <w:r>
        <w:rPr>
          <w:sz w:val="22"/>
          <w:szCs w:val="22"/>
        </w:rPr>
        <w:t xml:space="preserve">is expected to </w:t>
      </w:r>
      <w:r w:rsidR="00904C68">
        <w:rPr>
          <w:sz w:val="22"/>
          <w:szCs w:val="22"/>
        </w:rPr>
        <w:t xml:space="preserve">be published </w:t>
      </w:r>
      <w:r>
        <w:rPr>
          <w:sz w:val="22"/>
          <w:szCs w:val="22"/>
        </w:rPr>
        <w:t xml:space="preserve">in October or November 2024 </w:t>
      </w:r>
      <w:r w:rsidR="00904C68">
        <w:rPr>
          <w:sz w:val="22"/>
          <w:szCs w:val="22"/>
        </w:rPr>
        <w:t>for 2025-2026</w:t>
      </w:r>
      <w:r w:rsidR="00451192">
        <w:rPr>
          <w:sz w:val="22"/>
          <w:szCs w:val="22"/>
        </w:rPr>
        <w:t xml:space="preserve">, in which Schools Finance will consult with schools </w:t>
      </w:r>
      <w:r w:rsidR="00331FC9">
        <w:rPr>
          <w:sz w:val="22"/>
          <w:szCs w:val="22"/>
        </w:rPr>
        <w:t xml:space="preserve">and Schools Forum </w:t>
      </w:r>
      <w:r w:rsidR="00451192">
        <w:rPr>
          <w:sz w:val="22"/>
          <w:szCs w:val="22"/>
        </w:rPr>
        <w:t>to propose and agree de-delegation rates for 2025-2026</w:t>
      </w:r>
      <w:r w:rsidR="00331FC9">
        <w:rPr>
          <w:sz w:val="22"/>
          <w:szCs w:val="22"/>
        </w:rPr>
        <w:t>.</w:t>
      </w:r>
    </w:p>
    <w:p w14:paraId="437B887B" w14:textId="77777777" w:rsidR="00331FC9" w:rsidRDefault="00331FC9" w:rsidP="00B723ED">
      <w:pPr>
        <w:pStyle w:val="NoSpacing"/>
        <w:ind w:left="720" w:hanging="720"/>
        <w:rPr>
          <w:sz w:val="22"/>
          <w:szCs w:val="22"/>
        </w:rPr>
      </w:pPr>
    </w:p>
    <w:p w14:paraId="018449CD" w14:textId="7C11E507" w:rsidR="001955F5" w:rsidRDefault="00331FC9" w:rsidP="00911C8A">
      <w:pPr>
        <w:pStyle w:val="NoSpacing"/>
        <w:ind w:left="720" w:hanging="720"/>
        <w:rPr>
          <w:sz w:val="22"/>
          <w:szCs w:val="22"/>
        </w:rPr>
      </w:pPr>
      <w:r>
        <w:rPr>
          <w:sz w:val="22"/>
          <w:szCs w:val="22"/>
        </w:rPr>
        <w:t>4.2</w:t>
      </w:r>
      <w:r>
        <w:rPr>
          <w:sz w:val="22"/>
          <w:szCs w:val="22"/>
        </w:rPr>
        <w:tab/>
        <w:t>With regards to the de-delegation for the contingency fund, it is expected that the per-pupil rate will rise in line with</w:t>
      </w:r>
      <w:r w:rsidR="00396ADE">
        <w:rPr>
          <w:sz w:val="22"/>
          <w:szCs w:val="22"/>
        </w:rPr>
        <w:t xml:space="preserve"> </w:t>
      </w:r>
      <w:r>
        <w:rPr>
          <w:sz w:val="22"/>
          <w:szCs w:val="22"/>
        </w:rPr>
        <w:t>C</w:t>
      </w:r>
      <w:r w:rsidR="00396ADE">
        <w:rPr>
          <w:sz w:val="22"/>
          <w:szCs w:val="22"/>
        </w:rPr>
        <w:t xml:space="preserve">onsumer Prices Index (CPI) inflation, which is currently 3.1%.  This would increase the per rate pupil for both primary and secondary schools </w:t>
      </w:r>
      <w:r w:rsidR="002C1AB4">
        <w:rPr>
          <w:sz w:val="22"/>
          <w:szCs w:val="22"/>
        </w:rPr>
        <w:t xml:space="preserve">from the 2024-2025 rate </w:t>
      </w:r>
      <w:r w:rsidR="006B26C3">
        <w:rPr>
          <w:sz w:val="22"/>
          <w:szCs w:val="22"/>
        </w:rPr>
        <w:t xml:space="preserve">of £16.19 </w:t>
      </w:r>
      <w:r w:rsidR="002C1AB4">
        <w:rPr>
          <w:sz w:val="22"/>
          <w:szCs w:val="22"/>
        </w:rPr>
        <w:t>to £</w:t>
      </w:r>
      <w:r w:rsidR="00B433DF">
        <w:rPr>
          <w:sz w:val="22"/>
          <w:szCs w:val="22"/>
        </w:rPr>
        <w:t>16.69 per pupil for 2025-2026.</w:t>
      </w:r>
    </w:p>
    <w:p w14:paraId="65D36096" w14:textId="77777777" w:rsidR="003C0343" w:rsidRDefault="003C0343" w:rsidP="00E800DB">
      <w:pPr>
        <w:pStyle w:val="NoSpacing"/>
        <w:ind w:left="709"/>
        <w:rPr>
          <w:sz w:val="22"/>
          <w:szCs w:val="22"/>
        </w:rPr>
      </w:pPr>
    </w:p>
    <w:p w14:paraId="4812BC3A" w14:textId="77777777" w:rsidR="00190D18" w:rsidRDefault="00190D18" w:rsidP="008C4448">
      <w:pPr>
        <w:pStyle w:val="NoSpacing"/>
        <w:ind w:left="720" w:hanging="720"/>
        <w:rPr>
          <w:sz w:val="22"/>
          <w:szCs w:val="22"/>
        </w:rPr>
      </w:pPr>
    </w:p>
    <w:p w14:paraId="55D7E51B" w14:textId="24B16DDF" w:rsidR="00190D18" w:rsidRDefault="00897A53" w:rsidP="008C4448">
      <w:pPr>
        <w:pStyle w:val="NoSpacing"/>
        <w:ind w:left="720" w:hanging="720"/>
        <w:rPr>
          <w:sz w:val="22"/>
          <w:szCs w:val="22"/>
        </w:rPr>
      </w:pPr>
      <w:r w:rsidRPr="009A2B43">
        <w:rPr>
          <w:b/>
          <w:bCs/>
          <w:sz w:val="22"/>
          <w:szCs w:val="22"/>
        </w:rPr>
        <w:t>5</w:t>
      </w:r>
      <w:r w:rsidR="00190D18">
        <w:rPr>
          <w:sz w:val="22"/>
          <w:szCs w:val="22"/>
        </w:rPr>
        <w:tab/>
      </w:r>
      <w:r w:rsidR="00190D18" w:rsidRPr="00190D18">
        <w:rPr>
          <w:b/>
          <w:bCs/>
          <w:sz w:val="22"/>
          <w:szCs w:val="22"/>
        </w:rPr>
        <w:t>Next Steps and Consultation</w:t>
      </w:r>
    </w:p>
    <w:p w14:paraId="5ABF8C00" w14:textId="77777777" w:rsidR="00190D18" w:rsidRDefault="00190D18" w:rsidP="008C4448">
      <w:pPr>
        <w:pStyle w:val="NoSpacing"/>
        <w:ind w:left="720" w:hanging="720"/>
        <w:rPr>
          <w:sz w:val="22"/>
          <w:szCs w:val="22"/>
        </w:rPr>
      </w:pPr>
    </w:p>
    <w:p w14:paraId="76FF7D11" w14:textId="77325901" w:rsidR="00190D18" w:rsidRDefault="00897A53" w:rsidP="008C4448">
      <w:pPr>
        <w:pStyle w:val="NoSpacing"/>
        <w:ind w:left="720" w:hanging="720"/>
        <w:rPr>
          <w:sz w:val="22"/>
          <w:szCs w:val="22"/>
        </w:rPr>
      </w:pPr>
      <w:r>
        <w:rPr>
          <w:sz w:val="22"/>
          <w:szCs w:val="22"/>
        </w:rPr>
        <w:t>5</w:t>
      </w:r>
      <w:r w:rsidR="00190D18">
        <w:rPr>
          <w:sz w:val="22"/>
          <w:szCs w:val="22"/>
        </w:rPr>
        <w:t>.1</w:t>
      </w:r>
      <w:r w:rsidR="00190D18">
        <w:rPr>
          <w:sz w:val="22"/>
          <w:szCs w:val="22"/>
        </w:rPr>
        <w:tab/>
        <w:t xml:space="preserve">A consultation email will be sent to schools </w:t>
      </w:r>
      <w:r w:rsidR="00DF29D3">
        <w:rPr>
          <w:sz w:val="22"/>
          <w:szCs w:val="22"/>
        </w:rPr>
        <w:t>in October with the de-delegation options which will include proposals on the contingency fund for 2025-2026.</w:t>
      </w:r>
    </w:p>
    <w:p w14:paraId="7E1B2DD6" w14:textId="77777777" w:rsidR="00DB1969" w:rsidRDefault="00DB1969" w:rsidP="008C4448">
      <w:pPr>
        <w:pStyle w:val="NoSpacing"/>
        <w:ind w:left="720" w:hanging="720"/>
        <w:rPr>
          <w:sz w:val="22"/>
          <w:szCs w:val="22"/>
        </w:rPr>
      </w:pPr>
    </w:p>
    <w:p w14:paraId="677F810B" w14:textId="6FD6B119" w:rsidR="00491888" w:rsidRPr="006B7ED0" w:rsidRDefault="00897A53" w:rsidP="00897A53">
      <w:pPr>
        <w:pStyle w:val="NoSpacing"/>
        <w:ind w:left="720" w:hanging="720"/>
        <w:rPr>
          <w:sz w:val="22"/>
          <w:szCs w:val="22"/>
        </w:rPr>
      </w:pPr>
      <w:r>
        <w:rPr>
          <w:sz w:val="22"/>
          <w:szCs w:val="22"/>
        </w:rPr>
        <w:t>5</w:t>
      </w:r>
      <w:r w:rsidR="00DB1969">
        <w:rPr>
          <w:sz w:val="22"/>
          <w:szCs w:val="22"/>
        </w:rPr>
        <w:t>.2</w:t>
      </w:r>
      <w:r w:rsidR="00DB1969">
        <w:rPr>
          <w:sz w:val="22"/>
          <w:szCs w:val="22"/>
        </w:rPr>
        <w:tab/>
        <w:t xml:space="preserve">The minutes of this Schools Forum meeting will be used to determine </w:t>
      </w:r>
      <w:r w:rsidR="00FB4F48">
        <w:rPr>
          <w:sz w:val="22"/>
          <w:szCs w:val="22"/>
        </w:rPr>
        <w:t xml:space="preserve">the wishes of schools and Schools Forum with regards to the </w:t>
      </w:r>
      <w:r w:rsidR="00C61021">
        <w:rPr>
          <w:sz w:val="22"/>
          <w:szCs w:val="22"/>
        </w:rPr>
        <w:t xml:space="preserve">treatment of the </w:t>
      </w:r>
      <w:r w:rsidR="00FB4F48">
        <w:rPr>
          <w:sz w:val="22"/>
          <w:szCs w:val="22"/>
        </w:rPr>
        <w:t>Contingency Fund</w:t>
      </w:r>
      <w:r w:rsidR="00C61021">
        <w:rPr>
          <w:sz w:val="22"/>
          <w:szCs w:val="22"/>
        </w:rPr>
        <w:t xml:space="preserve"> for this financial year and to inform the proposals that are put forward by Schools Finance for 2025-2026.</w:t>
      </w:r>
    </w:p>
    <w:sectPr w:rsidR="00491888" w:rsidRPr="006B7ED0" w:rsidSect="009F6740">
      <w:headerReference w:type="default" r:id="rId11"/>
      <w:footerReference w:type="default" r:id="rId12"/>
      <w:pgSz w:w="11906" w:h="16838" w:code="9"/>
      <w:pgMar w:top="2410" w:right="1133"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10A66" w14:textId="77777777" w:rsidR="000C408B" w:rsidRDefault="000C408B">
      <w:r>
        <w:separator/>
      </w:r>
    </w:p>
  </w:endnote>
  <w:endnote w:type="continuationSeparator" w:id="0">
    <w:p w14:paraId="28BEDB85" w14:textId="77777777" w:rsidR="000C408B" w:rsidRDefault="000C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C32A5" w14:textId="5A798518" w:rsidR="00336E0A" w:rsidRDefault="00336E0A" w:rsidP="00BB66D4">
    <w:pPr>
      <w:pStyle w:val="Footer"/>
    </w:pPr>
  </w:p>
  <w:p w14:paraId="7ABC7EDC" w14:textId="33A4F96E"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0764" w14:textId="77777777" w:rsidR="000C408B" w:rsidRDefault="000C408B">
      <w:r>
        <w:separator/>
      </w:r>
    </w:p>
  </w:footnote>
  <w:footnote w:type="continuationSeparator" w:id="0">
    <w:p w14:paraId="57219E4C" w14:textId="77777777" w:rsidR="000C408B" w:rsidRDefault="000C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7EDA" w14:textId="52815625" w:rsidR="0096294A" w:rsidRDefault="000D5515">
    <w:pPr>
      <w:pStyle w:val="Header"/>
    </w:pPr>
    <w:r>
      <w:rPr>
        <w:noProof/>
      </w:rPr>
      <w:drawing>
        <wp:anchor distT="0" distB="0" distL="114300" distR="114300" simplePos="0" relativeHeight="251659264" behindDoc="1" locked="0" layoutInCell="1" allowOverlap="1" wp14:anchorId="46D2993D" wp14:editId="4F874A45">
          <wp:simplePos x="0" y="0"/>
          <wp:positionH relativeFrom="page">
            <wp:posOffset>30480</wp:posOffset>
          </wp:positionH>
          <wp:positionV relativeFrom="paragraph">
            <wp:posOffset>-565785</wp:posOffset>
          </wp:positionV>
          <wp:extent cx="7553325" cy="10681335"/>
          <wp:effectExtent l="0" t="0" r="9525" b="5715"/>
          <wp:wrapNone/>
          <wp:docPr id="2059949425" name="Picture 2059949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r w:rsidR="0096294A" w:rsidRPr="00ED7730">
      <w:ptab w:relativeTo="margin" w:alignment="center" w:leader="none"/>
    </w:r>
  </w:p>
  <w:p w14:paraId="7ABC7EDB"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440A0"/>
    <w:multiLevelType w:val="hybridMultilevel"/>
    <w:tmpl w:val="EFD68F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175726"/>
    <w:multiLevelType w:val="hybridMultilevel"/>
    <w:tmpl w:val="37147AB4"/>
    <w:lvl w:ilvl="0" w:tplc="C8027242">
      <w:start w:val="1"/>
      <w:numFmt w:val="lowerLetter"/>
      <w:lvlText w:val="%1)"/>
      <w:lvlJc w:val="left"/>
      <w:pPr>
        <w:ind w:left="1080" w:hanging="360"/>
      </w:pPr>
      <w:rPr>
        <w:rFonts w:ascii="Arial" w:eastAsia="Times New Roman" w:hAnsi="Arial"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014338B"/>
    <w:multiLevelType w:val="hybridMultilevel"/>
    <w:tmpl w:val="18F0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7B4936"/>
    <w:multiLevelType w:val="hybridMultilevel"/>
    <w:tmpl w:val="ACF0ED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30C5FA7"/>
    <w:multiLevelType w:val="hybridMultilevel"/>
    <w:tmpl w:val="8F9A8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049640">
    <w:abstractNumId w:val="1"/>
  </w:num>
  <w:num w:numId="2" w16cid:durableId="542444892">
    <w:abstractNumId w:val="2"/>
  </w:num>
  <w:num w:numId="3" w16cid:durableId="666440009">
    <w:abstractNumId w:val="4"/>
  </w:num>
  <w:num w:numId="4" w16cid:durableId="1348554496">
    <w:abstractNumId w:val="5"/>
  </w:num>
  <w:num w:numId="5" w16cid:durableId="632175366">
    <w:abstractNumId w:val="0"/>
  </w:num>
  <w:num w:numId="6" w16cid:durableId="102656403">
    <w:abstractNumId w:val="6"/>
  </w:num>
  <w:num w:numId="7" w16cid:durableId="1686053620">
    <w:abstractNumId w:val="3"/>
  </w:num>
  <w:num w:numId="8" w16cid:durableId="72903449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3F1B"/>
    <w:rsid w:val="000079CF"/>
    <w:rsid w:val="000106AF"/>
    <w:rsid w:val="00011A38"/>
    <w:rsid w:val="0001228D"/>
    <w:rsid w:val="00014128"/>
    <w:rsid w:val="000149FD"/>
    <w:rsid w:val="00015BB2"/>
    <w:rsid w:val="00023929"/>
    <w:rsid w:val="00025F55"/>
    <w:rsid w:val="00026A03"/>
    <w:rsid w:val="00030F6F"/>
    <w:rsid w:val="00031C0E"/>
    <w:rsid w:val="000339DC"/>
    <w:rsid w:val="00037A00"/>
    <w:rsid w:val="00041E9D"/>
    <w:rsid w:val="00046FCB"/>
    <w:rsid w:val="00051179"/>
    <w:rsid w:val="0005284B"/>
    <w:rsid w:val="000528CE"/>
    <w:rsid w:val="00053B81"/>
    <w:rsid w:val="00055F22"/>
    <w:rsid w:val="00057FE7"/>
    <w:rsid w:val="00060FED"/>
    <w:rsid w:val="000648B0"/>
    <w:rsid w:val="000712B0"/>
    <w:rsid w:val="0007256E"/>
    <w:rsid w:val="00072762"/>
    <w:rsid w:val="00077299"/>
    <w:rsid w:val="0008290D"/>
    <w:rsid w:val="00083BBE"/>
    <w:rsid w:val="00085410"/>
    <w:rsid w:val="00087E04"/>
    <w:rsid w:val="000A2234"/>
    <w:rsid w:val="000A3D53"/>
    <w:rsid w:val="000A3ED7"/>
    <w:rsid w:val="000A70DE"/>
    <w:rsid w:val="000A7490"/>
    <w:rsid w:val="000A7872"/>
    <w:rsid w:val="000A78CA"/>
    <w:rsid w:val="000B6C27"/>
    <w:rsid w:val="000C1387"/>
    <w:rsid w:val="000C408B"/>
    <w:rsid w:val="000C776F"/>
    <w:rsid w:val="000D0BA2"/>
    <w:rsid w:val="000D1C63"/>
    <w:rsid w:val="000D3037"/>
    <w:rsid w:val="000D5510"/>
    <w:rsid w:val="000D5515"/>
    <w:rsid w:val="000D6FF5"/>
    <w:rsid w:val="000E0D84"/>
    <w:rsid w:val="000E153F"/>
    <w:rsid w:val="000E18A5"/>
    <w:rsid w:val="000E4D25"/>
    <w:rsid w:val="000E7C2D"/>
    <w:rsid w:val="000F0BCB"/>
    <w:rsid w:val="000F1054"/>
    <w:rsid w:val="000F2011"/>
    <w:rsid w:val="000F6E92"/>
    <w:rsid w:val="00100961"/>
    <w:rsid w:val="00101AD3"/>
    <w:rsid w:val="00102CEB"/>
    <w:rsid w:val="00104617"/>
    <w:rsid w:val="0010704F"/>
    <w:rsid w:val="00110AE1"/>
    <w:rsid w:val="0011136A"/>
    <w:rsid w:val="00116FD4"/>
    <w:rsid w:val="00125730"/>
    <w:rsid w:val="0012624A"/>
    <w:rsid w:val="00126384"/>
    <w:rsid w:val="00127374"/>
    <w:rsid w:val="001312A7"/>
    <w:rsid w:val="00131EEB"/>
    <w:rsid w:val="0013261A"/>
    <w:rsid w:val="00133AC3"/>
    <w:rsid w:val="00136089"/>
    <w:rsid w:val="001445AD"/>
    <w:rsid w:val="001464EA"/>
    <w:rsid w:val="00151AD1"/>
    <w:rsid w:val="00152F4B"/>
    <w:rsid w:val="0015356B"/>
    <w:rsid w:val="001559D1"/>
    <w:rsid w:val="001619A7"/>
    <w:rsid w:val="00162D25"/>
    <w:rsid w:val="001637DD"/>
    <w:rsid w:val="001638D3"/>
    <w:rsid w:val="00171274"/>
    <w:rsid w:val="00177800"/>
    <w:rsid w:val="00177D98"/>
    <w:rsid w:val="0018038E"/>
    <w:rsid w:val="00184A94"/>
    <w:rsid w:val="00184C98"/>
    <w:rsid w:val="0018621F"/>
    <w:rsid w:val="0018638A"/>
    <w:rsid w:val="001868F4"/>
    <w:rsid w:val="00190D18"/>
    <w:rsid w:val="0019143A"/>
    <w:rsid w:val="001955F5"/>
    <w:rsid w:val="001A2886"/>
    <w:rsid w:val="001A69D3"/>
    <w:rsid w:val="001A74CC"/>
    <w:rsid w:val="001B1591"/>
    <w:rsid w:val="001B259F"/>
    <w:rsid w:val="001B3891"/>
    <w:rsid w:val="001B4A08"/>
    <w:rsid w:val="001C0800"/>
    <w:rsid w:val="001C209A"/>
    <w:rsid w:val="001C3D0E"/>
    <w:rsid w:val="001C6F21"/>
    <w:rsid w:val="001D0FA7"/>
    <w:rsid w:val="001D32A0"/>
    <w:rsid w:val="001D4975"/>
    <w:rsid w:val="001D6A92"/>
    <w:rsid w:val="001D6BA4"/>
    <w:rsid w:val="001D7850"/>
    <w:rsid w:val="001E4116"/>
    <w:rsid w:val="001E472B"/>
    <w:rsid w:val="001E70F6"/>
    <w:rsid w:val="001F7252"/>
    <w:rsid w:val="001F744A"/>
    <w:rsid w:val="00202CCC"/>
    <w:rsid w:val="00205496"/>
    <w:rsid w:val="002204BC"/>
    <w:rsid w:val="00221B84"/>
    <w:rsid w:val="00223AA8"/>
    <w:rsid w:val="002246CA"/>
    <w:rsid w:val="00231641"/>
    <w:rsid w:val="002374A3"/>
    <w:rsid w:val="00246254"/>
    <w:rsid w:val="002467C4"/>
    <w:rsid w:val="00253B34"/>
    <w:rsid w:val="00256938"/>
    <w:rsid w:val="00256D5C"/>
    <w:rsid w:val="00257D10"/>
    <w:rsid w:val="0026062F"/>
    <w:rsid w:val="0026098B"/>
    <w:rsid w:val="002640E1"/>
    <w:rsid w:val="00264249"/>
    <w:rsid w:val="00264A76"/>
    <w:rsid w:val="00266DE2"/>
    <w:rsid w:val="00271498"/>
    <w:rsid w:val="002773FD"/>
    <w:rsid w:val="00277902"/>
    <w:rsid w:val="00287DBD"/>
    <w:rsid w:val="0029022D"/>
    <w:rsid w:val="00291476"/>
    <w:rsid w:val="0029323C"/>
    <w:rsid w:val="00293B8C"/>
    <w:rsid w:val="002943F1"/>
    <w:rsid w:val="002958F1"/>
    <w:rsid w:val="002A0922"/>
    <w:rsid w:val="002A09FC"/>
    <w:rsid w:val="002A3146"/>
    <w:rsid w:val="002A69DC"/>
    <w:rsid w:val="002A6C58"/>
    <w:rsid w:val="002A734B"/>
    <w:rsid w:val="002B0759"/>
    <w:rsid w:val="002C019B"/>
    <w:rsid w:val="002C1AB4"/>
    <w:rsid w:val="002C7139"/>
    <w:rsid w:val="002D594F"/>
    <w:rsid w:val="002D6807"/>
    <w:rsid w:val="002F18E1"/>
    <w:rsid w:val="002F2954"/>
    <w:rsid w:val="002F4FB8"/>
    <w:rsid w:val="002F55A8"/>
    <w:rsid w:val="003044B1"/>
    <w:rsid w:val="0030490E"/>
    <w:rsid w:val="00304E15"/>
    <w:rsid w:val="00305A09"/>
    <w:rsid w:val="003100B9"/>
    <w:rsid w:val="00310BDE"/>
    <w:rsid w:val="00312317"/>
    <w:rsid w:val="00321AD8"/>
    <w:rsid w:val="00322E4D"/>
    <w:rsid w:val="00324F75"/>
    <w:rsid w:val="00327B3A"/>
    <w:rsid w:val="00331FC9"/>
    <w:rsid w:val="003322EA"/>
    <w:rsid w:val="00336299"/>
    <w:rsid w:val="00336E0A"/>
    <w:rsid w:val="00337335"/>
    <w:rsid w:val="00340FE3"/>
    <w:rsid w:val="00343D1D"/>
    <w:rsid w:val="00351F12"/>
    <w:rsid w:val="003531BB"/>
    <w:rsid w:val="003564B6"/>
    <w:rsid w:val="00361F94"/>
    <w:rsid w:val="00367A5B"/>
    <w:rsid w:val="00377B3F"/>
    <w:rsid w:val="00381830"/>
    <w:rsid w:val="0038332C"/>
    <w:rsid w:val="003867AC"/>
    <w:rsid w:val="00390155"/>
    <w:rsid w:val="003920CB"/>
    <w:rsid w:val="003925D5"/>
    <w:rsid w:val="00396ADE"/>
    <w:rsid w:val="00397511"/>
    <w:rsid w:val="003A5DB6"/>
    <w:rsid w:val="003A6492"/>
    <w:rsid w:val="003A6B55"/>
    <w:rsid w:val="003B2548"/>
    <w:rsid w:val="003B3B0E"/>
    <w:rsid w:val="003B700C"/>
    <w:rsid w:val="003B7621"/>
    <w:rsid w:val="003C0343"/>
    <w:rsid w:val="003C4300"/>
    <w:rsid w:val="003D08B1"/>
    <w:rsid w:val="003D29D2"/>
    <w:rsid w:val="003D435E"/>
    <w:rsid w:val="003D4611"/>
    <w:rsid w:val="003E00BB"/>
    <w:rsid w:val="00405B39"/>
    <w:rsid w:val="004060F0"/>
    <w:rsid w:val="00407E4D"/>
    <w:rsid w:val="00407F2D"/>
    <w:rsid w:val="00410D37"/>
    <w:rsid w:val="00411EEB"/>
    <w:rsid w:val="00413D4F"/>
    <w:rsid w:val="00413F31"/>
    <w:rsid w:val="00421266"/>
    <w:rsid w:val="004256EA"/>
    <w:rsid w:val="0042742F"/>
    <w:rsid w:val="00432D77"/>
    <w:rsid w:val="004338B5"/>
    <w:rsid w:val="00434EDA"/>
    <w:rsid w:val="00444C0E"/>
    <w:rsid w:val="00445B2E"/>
    <w:rsid w:val="00446519"/>
    <w:rsid w:val="004478AE"/>
    <w:rsid w:val="00447E7C"/>
    <w:rsid w:val="004503C6"/>
    <w:rsid w:val="0045059B"/>
    <w:rsid w:val="00451192"/>
    <w:rsid w:val="00451CF7"/>
    <w:rsid w:val="0045713A"/>
    <w:rsid w:val="00457227"/>
    <w:rsid w:val="00457528"/>
    <w:rsid w:val="00464AC8"/>
    <w:rsid w:val="00465312"/>
    <w:rsid w:val="0046718D"/>
    <w:rsid w:val="00467E84"/>
    <w:rsid w:val="004705A1"/>
    <w:rsid w:val="00471FB5"/>
    <w:rsid w:val="004832BC"/>
    <w:rsid w:val="004862AC"/>
    <w:rsid w:val="004862E0"/>
    <w:rsid w:val="00486492"/>
    <w:rsid w:val="004872FC"/>
    <w:rsid w:val="00491888"/>
    <w:rsid w:val="004A0F22"/>
    <w:rsid w:val="004A1F79"/>
    <w:rsid w:val="004A2E94"/>
    <w:rsid w:val="004A417E"/>
    <w:rsid w:val="004B4C59"/>
    <w:rsid w:val="004B6ED7"/>
    <w:rsid w:val="004C11CF"/>
    <w:rsid w:val="004C37EA"/>
    <w:rsid w:val="004C64E9"/>
    <w:rsid w:val="004D4FF7"/>
    <w:rsid w:val="004D5C22"/>
    <w:rsid w:val="004D63C9"/>
    <w:rsid w:val="004D7D73"/>
    <w:rsid w:val="004E30CA"/>
    <w:rsid w:val="004F3E4A"/>
    <w:rsid w:val="004F67E3"/>
    <w:rsid w:val="004F6D28"/>
    <w:rsid w:val="00500816"/>
    <w:rsid w:val="00501776"/>
    <w:rsid w:val="005018CC"/>
    <w:rsid w:val="005051E4"/>
    <w:rsid w:val="0050651C"/>
    <w:rsid w:val="005065B0"/>
    <w:rsid w:val="00510168"/>
    <w:rsid w:val="005210A6"/>
    <w:rsid w:val="005304AA"/>
    <w:rsid w:val="00534955"/>
    <w:rsid w:val="00537428"/>
    <w:rsid w:val="0054015A"/>
    <w:rsid w:val="0054023F"/>
    <w:rsid w:val="00540291"/>
    <w:rsid w:val="005422FB"/>
    <w:rsid w:val="00545A21"/>
    <w:rsid w:val="00550AD9"/>
    <w:rsid w:val="00552A9D"/>
    <w:rsid w:val="00553CE9"/>
    <w:rsid w:val="00563512"/>
    <w:rsid w:val="00565F48"/>
    <w:rsid w:val="00572E2A"/>
    <w:rsid w:val="00573B78"/>
    <w:rsid w:val="00580113"/>
    <w:rsid w:val="00581165"/>
    <w:rsid w:val="00581CFC"/>
    <w:rsid w:val="00582A23"/>
    <w:rsid w:val="005840FC"/>
    <w:rsid w:val="00584A63"/>
    <w:rsid w:val="00591F08"/>
    <w:rsid w:val="005934AD"/>
    <w:rsid w:val="005957E5"/>
    <w:rsid w:val="005A2910"/>
    <w:rsid w:val="005A29F4"/>
    <w:rsid w:val="005A3C4D"/>
    <w:rsid w:val="005A4819"/>
    <w:rsid w:val="005A6E33"/>
    <w:rsid w:val="005B2E49"/>
    <w:rsid w:val="005B564D"/>
    <w:rsid w:val="005C3969"/>
    <w:rsid w:val="005D2A8B"/>
    <w:rsid w:val="005D5310"/>
    <w:rsid w:val="005D57DA"/>
    <w:rsid w:val="005E12B9"/>
    <w:rsid w:val="005E7EBC"/>
    <w:rsid w:val="005F1CE0"/>
    <w:rsid w:val="005F399C"/>
    <w:rsid w:val="00603459"/>
    <w:rsid w:val="00604DF8"/>
    <w:rsid w:val="00611B3F"/>
    <w:rsid w:val="006134FA"/>
    <w:rsid w:val="00613717"/>
    <w:rsid w:val="0061431C"/>
    <w:rsid w:val="00616855"/>
    <w:rsid w:val="0062208E"/>
    <w:rsid w:val="00636E2F"/>
    <w:rsid w:val="00642D8B"/>
    <w:rsid w:val="0064655C"/>
    <w:rsid w:val="00646D3B"/>
    <w:rsid w:val="00650A21"/>
    <w:rsid w:val="0065202F"/>
    <w:rsid w:val="00653145"/>
    <w:rsid w:val="00657B24"/>
    <w:rsid w:val="00660036"/>
    <w:rsid w:val="006635A4"/>
    <w:rsid w:val="00664ED4"/>
    <w:rsid w:val="00664F64"/>
    <w:rsid w:val="00665183"/>
    <w:rsid w:val="006655F2"/>
    <w:rsid w:val="00665A4C"/>
    <w:rsid w:val="0067037F"/>
    <w:rsid w:val="006706BB"/>
    <w:rsid w:val="00671CCB"/>
    <w:rsid w:val="0067320C"/>
    <w:rsid w:val="0067369D"/>
    <w:rsid w:val="00673A87"/>
    <w:rsid w:val="00674AD4"/>
    <w:rsid w:val="006802FB"/>
    <w:rsid w:val="006815FE"/>
    <w:rsid w:val="00684833"/>
    <w:rsid w:val="00690471"/>
    <w:rsid w:val="00691C1F"/>
    <w:rsid w:val="00694E50"/>
    <w:rsid w:val="00695F0A"/>
    <w:rsid w:val="0069748F"/>
    <w:rsid w:val="006A0D7F"/>
    <w:rsid w:val="006A1261"/>
    <w:rsid w:val="006B15C2"/>
    <w:rsid w:val="006B26C3"/>
    <w:rsid w:val="006B7ED0"/>
    <w:rsid w:val="006C3030"/>
    <w:rsid w:val="006C3E43"/>
    <w:rsid w:val="006C5DF1"/>
    <w:rsid w:val="006C63CE"/>
    <w:rsid w:val="006C6470"/>
    <w:rsid w:val="006C75C1"/>
    <w:rsid w:val="006C7A55"/>
    <w:rsid w:val="006D52F7"/>
    <w:rsid w:val="006D64E4"/>
    <w:rsid w:val="006E5C2F"/>
    <w:rsid w:val="006F119E"/>
    <w:rsid w:val="006F1734"/>
    <w:rsid w:val="006F2AAB"/>
    <w:rsid w:val="006F2E0C"/>
    <w:rsid w:val="006F6C92"/>
    <w:rsid w:val="007047E2"/>
    <w:rsid w:val="0070740D"/>
    <w:rsid w:val="00707765"/>
    <w:rsid w:val="0071067E"/>
    <w:rsid w:val="00715428"/>
    <w:rsid w:val="00715552"/>
    <w:rsid w:val="00724981"/>
    <w:rsid w:val="007303C1"/>
    <w:rsid w:val="00734345"/>
    <w:rsid w:val="0073508C"/>
    <w:rsid w:val="00736AEE"/>
    <w:rsid w:val="00740519"/>
    <w:rsid w:val="007420EE"/>
    <w:rsid w:val="007443D5"/>
    <w:rsid w:val="007459DA"/>
    <w:rsid w:val="00755561"/>
    <w:rsid w:val="00760256"/>
    <w:rsid w:val="007621AC"/>
    <w:rsid w:val="00764A57"/>
    <w:rsid w:val="007654C8"/>
    <w:rsid w:val="00767C45"/>
    <w:rsid w:val="00772BC8"/>
    <w:rsid w:val="0077418B"/>
    <w:rsid w:val="00775279"/>
    <w:rsid w:val="00777C75"/>
    <w:rsid w:val="0078151E"/>
    <w:rsid w:val="007830A0"/>
    <w:rsid w:val="00783758"/>
    <w:rsid w:val="00784340"/>
    <w:rsid w:val="00793AAF"/>
    <w:rsid w:val="00793F85"/>
    <w:rsid w:val="00796115"/>
    <w:rsid w:val="007972C5"/>
    <w:rsid w:val="007976AC"/>
    <w:rsid w:val="00797C2F"/>
    <w:rsid w:val="007A4188"/>
    <w:rsid w:val="007B05FA"/>
    <w:rsid w:val="007B267B"/>
    <w:rsid w:val="007B2A4F"/>
    <w:rsid w:val="007B3045"/>
    <w:rsid w:val="007B70CE"/>
    <w:rsid w:val="007B7456"/>
    <w:rsid w:val="007C0808"/>
    <w:rsid w:val="007C5374"/>
    <w:rsid w:val="007C5ACA"/>
    <w:rsid w:val="007D15CC"/>
    <w:rsid w:val="007D3E13"/>
    <w:rsid w:val="007D415B"/>
    <w:rsid w:val="007D695C"/>
    <w:rsid w:val="007D76FE"/>
    <w:rsid w:val="007E212F"/>
    <w:rsid w:val="007E2A22"/>
    <w:rsid w:val="007E361C"/>
    <w:rsid w:val="007E4B79"/>
    <w:rsid w:val="007E65BB"/>
    <w:rsid w:val="007F1B40"/>
    <w:rsid w:val="007F2BEE"/>
    <w:rsid w:val="007F442C"/>
    <w:rsid w:val="007F598E"/>
    <w:rsid w:val="007F659D"/>
    <w:rsid w:val="007F68E4"/>
    <w:rsid w:val="007F7E22"/>
    <w:rsid w:val="008016EC"/>
    <w:rsid w:val="00801FA8"/>
    <w:rsid w:val="008059CF"/>
    <w:rsid w:val="00810C83"/>
    <w:rsid w:val="008113A1"/>
    <w:rsid w:val="00811614"/>
    <w:rsid w:val="00816F02"/>
    <w:rsid w:val="0082093F"/>
    <w:rsid w:val="008216A8"/>
    <w:rsid w:val="00823386"/>
    <w:rsid w:val="0082686D"/>
    <w:rsid w:val="008276F5"/>
    <w:rsid w:val="00827831"/>
    <w:rsid w:val="00830781"/>
    <w:rsid w:val="0083113B"/>
    <w:rsid w:val="008311F6"/>
    <w:rsid w:val="00833A23"/>
    <w:rsid w:val="00836545"/>
    <w:rsid w:val="008415CA"/>
    <w:rsid w:val="008419E7"/>
    <w:rsid w:val="00842A36"/>
    <w:rsid w:val="00843CA0"/>
    <w:rsid w:val="008518D0"/>
    <w:rsid w:val="00851B78"/>
    <w:rsid w:val="008529FA"/>
    <w:rsid w:val="0085364A"/>
    <w:rsid w:val="00853979"/>
    <w:rsid w:val="008551AC"/>
    <w:rsid w:val="00862649"/>
    <w:rsid w:val="008626FD"/>
    <w:rsid w:val="00875173"/>
    <w:rsid w:val="00876D9E"/>
    <w:rsid w:val="008779FF"/>
    <w:rsid w:val="00882D92"/>
    <w:rsid w:val="00884935"/>
    <w:rsid w:val="00886E5D"/>
    <w:rsid w:val="00887A6A"/>
    <w:rsid w:val="0089125F"/>
    <w:rsid w:val="008918D0"/>
    <w:rsid w:val="00892075"/>
    <w:rsid w:val="00893C99"/>
    <w:rsid w:val="00894385"/>
    <w:rsid w:val="0089533B"/>
    <w:rsid w:val="00897094"/>
    <w:rsid w:val="00897A53"/>
    <w:rsid w:val="008A734E"/>
    <w:rsid w:val="008B0C7C"/>
    <w:rsid w:val="008B3A21"/>
    <w:rsid w:val="008B3B95"/>
    <w:rsid w:val="008B49DA"/>
    <w:rsid w:val="008B64FF"/>
    <w:rsid w:val="008B67FD"/>
    <w:rsid w:val="008B6878"/>
    <w:rsid w:val="008C0499"/>
    <w:rsid w:val="008C10D0"/>
    <w:rsid w:val="008C1863"/>
    <w:rsid w:val="008C4448"/>
    <w:rsid w:val="008C709C"/>
    <w:rsid w:val="008D0F23"/>
    <w:rsid w:val="008D3826"/>
    <w:rsid w:val="008E1004"/>
    <w:rsid w:val="008E10E2"/>
    <w:rsid w:val="008E4D27"/>
    <w:rsid w:val="008E7125"/>
    <w:rsid w:val="008F18A6"/>
    <w:rsid w:val="008F1F04"/>
    <w:rsid w:val="008F308F"/>
    <w:rsid w:val="008F6C77"/>
    <w:rsid w:val="00901424"/>
    <w:rsid w:val="00901921"/>
    <w:rsid w:val="00903441"/>
    <w:rsid w:val="0090384D"/>
    <w:rsid w:val="009045F9"/>
    <w:rsid w:val="0090496E"/>
    <w:rsid w:val="00904C68"/>
    <w:rsid w:val="00910A9D"/>
    <w:rsid w:val="00910F12"/>
    <w:rsid w:val="00911C8A"/>
    <w:rsid w:val="00921F89"/>
    <w:rsid w:val="0092367A"/>
    <w:rsid w:val="00925060"/>
    <w:rsid w:val="00926117"/>
    <w:rsid w:val="009324CE"/>
    <w:rsid w:val="00933C6E"/>
    <w:rsid w:val="00937126"/>
    <w:rsid w:val="009376B7"/>
    <w:rsid w:val="009570A9"/>
    <w:rsid w:val="0096294A"/>
    <w:rsid w:val="00963CDD"/>
    <w:rsid w:val="00967412"/>
    <w:rsid w:val="0097070D"/>
    <w:rsid w:val="00970BBA"/>
    <w:rsid w:val="00974443"/>
    <w:rsid w:val="00977FE3"/>
    <w:rsid w:val="00982C1A"/>
    <w:rsid w:val="00983BE3"/>
    <w:rsid w:val="009859B8"/>
    <w:rsid w:val="00986331"/>
    <w:rsid w:val="009A2B43"/>
    <w:rsid w:val="009A45D4"/>
    <w:rsid w:val="009A6B26"/>
    <w:rsid w:val="009A71E5"/>
    <w:rsid w:val="009A72CC"/>
    <w:rsid w:val="009A7ACC"/>
    <w:rsid w:val="009A7BC6"/>
    <w:rsid w:val="009B17A0"/>
    <w:rsid w:val="009B5F87"/>
    <w:rsid w:val="009B5FB0"/>
    <w:rsid w:val="009C3508"/>
    <w:rsid w:val="009C6A63"/>
    <w:rsid w:val="009D02BA"/>
    <w:rsid w:val="009D6216"/>
    <w:rsid w:val="009D6310"/>
    <w:rsid w:val="009D6A61"/>
    <w:rsid w:val="009D7CB2"/>
    <w:rsid w:val="009D7EF1"/>
    <w:rsid w:val="009E2CE1"/>
    <w:rsid w:val="009E5F18"/>
    <w:rsid w:val="009E6084"/>
    <w:rsid w:val="009F0DD3"/>
    <w:rsid w:val="009F6740"/>
    <w:rsid w:val="00A01619"/>
    <w:rsid w:val="00A021D0"/>
    <w:rsid w:val="00A02309"/>
    <w:rsid w:val="00A0264B"/>
    <w:rsid w:val="00A10226"/>
    <w:rsid w:val="00A2571C"/>
    <w:rsid w:val="00A262AA"/>
    <w:rsid w:val="00A270FB"/>
    <w:rsid w:val="00A3092C"/>
    <w:rsid w:val="00A35101"/>
    <w:rsid w:val="00A37785"/>
    <w:rsid w:val="00A4191B"/>
    <w:rsid w:val="00A41FDD"/>
    <w:rsid w:val="00A46BC0"/>
    <w:rsid w:val="00A47AD0"/>
    <w:rsid w:val="00A51555"/>
    <w:rsid w:val="00A66AC6"/>
    <w:rsid w:val="00A7074D"/>
    <w:rsid w:val="00A70D06"/>
    <w:rsid w:val="00A73462"/>
    <w:rsid w:val="00A73D70"/>
    <w:rsid w:val="00A80202"/>
    <w:rsid w:val="00A82BBB"/>
    <w:rsid w:val="00A869BA"/>
    <w:rsid w:val="00A90021"/>
    <w:rsid w:val="00A90D5D"/>
    <w:rsid w:val="00A90DE9"/>
    <w:rsid w:val="00A9242E"/>
    <w:rsid w:val="00AA1BFB"/>
    <w:rsid w:val="00AB4B9C"/>
    <w:rsid w:val="00AB7124"/>
    <w:rsid w:val="00AC3219"/>
    <w:rsid w:val="00AC481F"/>
    <w:rsid w:val="00AC6895"/>
    <w:rsid w:val="00AD467E"/>
    <w:rsid w:val="00AE2D02"/>
    <w:rsid w:val="00AE3E41"/>
    <w:rsid w:val="00AE580E"/>
    <w:rsid w:val="00AE78B5"/>
    <w:rsid w:val="00AF24CA"/>
    <w:rsid w:val="00AF4619"/>
    <w:rsid w:val="00AF69EA"/>
    <w:rsid w:val="00AF72A6"/>
    <w:rsid w:val="00B006AA"/>
    <w:rsid w:val="00B00BFF"/>
    <w:rsid w:val="00B00C14"/>
    <w:rsid w:val="00B102CA"/>
    <w:rsid w:val="00B114C5"/>
    <w:rsid w:val="00B156F5"/>
    <w:rsid w:val="00B23309"/>
    <w:rsid w:val="00B23681"/>
    <w:rsid w:val="00B265D3"/>
    <w:rsid w:val="00B31B72"/>
    <w:rsid w:val="00B35C52"/>
    <w:rsid w:val="00B4107C"/>
    <w:rsid w:val="00B4156D"/>
    <w:rsid w:val="00B415F5"/>
    <w:rsid w:val="00B42676"/>
    <w:rsid w:val="00B42738"/>
    <w:rsid w:val="00B42912"/>
    <w:rsid w:val="00B433DF"/>
    <w:rsid w:val="00B46324"/>
    <w:rsid w:val="00B51BA6"/>
    <w:rsid w:val="00B52078"/>
    <w:rsid w:val="00B54714"/>
    <w:rsid w:val="00B57BC9"/>
    <w:rsid w:val="00B57F41"/>
    <w:rsid w:val="00B60546"/>
    <w:rsid w:val="00B61622"/>
    <w:rsid w:val="00B62473"/>
    <w:rsid w:val="00B63F5E"/>
    <w:rsid w:val="00B64994"/>
    <w:rsid w:val="00B676D3"/>
    <w:rsid w:val="00B7111E"/>
    <w:rsid w:val="00B723ED"/>
    <w:rsid w:val="00B72A24"/>
    <w:rsid w:val="00B72BE2"/>
    <w:rsid w:val="00B73AFD"/>
    <w:rsid w:val="00B83052"/>
    <w:rsid w:val="00B85F2B"/>
    <w:rsid w:val="00B8684F"/>
    <w:rsid w:val="00B87DE5"/>
    <w:rsid w:val="00B90F19"/>
    <w:rsid w:val="00B91F4A"/>
    <w:rsid w:val="00BA5692"/>
    <w:rsid w:val="00BB00C3"/>
    <w:rsid w:val="00BB0663"/>
    <w:rsid w:val="00BB0A45"/>
    <w:rsid w:val="00BB2B36"/>
    <w:rsid w:val="00BB2F65"/>
    <w:rsid w:val="00BB4758"/>
    <w:rsid w:val="00BB66D4"/>
    <w:rsid w:val="00BC510D"/>
    <w:rsid w:val="00BC5941"/>
    <w:rsid w:val="00BD0C88"/>
    <w:rsid w:val="00BD1077"/>
    <w:rsid w:val="00BD2F97"/>
    <w:rsid w:val="00BD403B"/>
    <w:rsid w:val="00BD75DD"/>
    <w:rsid w:val="00BE3436"/>
    <w:rsid w:val="00BF12DE"/>
    <w:rsid w:val="00BF6E7C"/>
    <w:rsid w:val="00BF75F9"/>
    <w:rsid w:val="00C12ABE"/>
    <w:rsid w:val="00C14F88"/>
    <w:rsid w:val="00C21CE7"/>
    <w:rsid w:val="00C2294E"/>
    <w:rsid w:val="00C25425"/>
    <w:rsid w:val="00C26020"/>
    <w:rsid w:val="00C27248"/>
    <w:rsid w:val="00C30A4F"/>
    <w:rsid w:val="00C33AB2"/>
    <w:rsid w:val="00C33B1E"/>
    <w:rsid w:val="00C36824"/>
    <w:rsid w:val="00C460C3"/>
    <w:rsid w:val="00C47250"/>
    <w:rsid w:val="00C477AD"/>
    <w:rsid w:val="00C51271"/>
    <w:rsid w:val="00C53D18"/>
    <w:rsid w:val="00C56941"/>
    <w:rsid w:val="00C61021"/>
    <w:rsid w:val="00C617F8"/>
    <w:rsid w:val="00C679E6"/>
    <w:rsid w:val="00C67FDD"/>
    <w:rsid w:val="00C72642"/>
    <w:rsid w:val="00C81B0D"/>
    <w:rsid w:val="00C822DF"/>
    <w:rsid w:val="00C85CF0"/>
    <w:rsid w:val="00C901FF"/>
    <w:rsid w:val="00C90FFA"/>
    <w:rsid w:val="00C96FB3"/>
    <w:rsid w:val="00CA4964"/>
    <w:rsid w:val="00CB1C3A"/>
    <w:rsid w:val="00CB440D"/>
    <w:rsid w:val="00CB458A"/>
    <w:rsid w:val="00CB498B"/>
    <w:rsid w:val="00CC3237"/>
    <w:rsid w:val="00CC73F0"/>
    <w:rsid w:val="00CD0D8A"/>
    <w:rsid w:val="00CD2C9C"/>
    <w:rsid w:val="00CD4FC5"/>
    <w:rsid w:val="00CD58C1"/>
    <w:rsid w:val="00CD764A"/>
    <w:rsid w:val="00CD78CB"/>
    <w:rsid w:val="00CE6BDA"/>
    <w:rsid w:val="00CF06FC"/>
    <w:rsid w:val="00CF1CF1"/>
    <w:rsid w:val="00CF27C4"/>
    <w:rsid w:val="00CF2A2E"/>
    <w:rsid w:val="00CF341E"/>
    <w:rsid w:val="00CF36A1"/>
    <w:rsid w:val="00CF3F73"/>
    <w:rsid w:val="00CF5F7A"/>
    <w:rsid w:val="00D04E29"/>
    <w:rsid w:val="00D1132A"/>
    <w:rsid w:val="00D131C5"/>
    <w:rsid w:val="00D15AEC"/>
    <w:rsid w:val="00D25CD7"/>
    <w:rsid w:val="00D2769E"/>
    <w:rsid w:val="00D37CAC"/>
    <w:rsid w:val="00D4115F"/>
    <w:rsid w:val="00D46204"/>
    <w:rsid w:val="00D50B6F"/>
    <w:rsid w:val="00D62A1F"/>
    <w:rsid w:val="00D62BBC"/>
    <w:rsid w:val="00D702AB"/>
    <w:rsid w:val="00D728E7"/>
    <w:rsid w:val="00D73F70"/>
    <w:rsid w:val="00D74697"/>
    <w:rsid w:val="00D76549"/>
    <w:rsid w:val="00D8479C"/>
    <w:rsid w:val="00D85B68"/>
    <w:rsid w:val="00D86424"/>
    <w:rsid w:val="00D93B6C"/>
    <w:rsid w:val="00D957DD"/>
    <w:rsid w:val="00DA0E11"/>
    <w:rsid w:val="00DA22DF"/>
    <w:rsid w:val="00DA636C"/>
    <w:rsid w:val="00DA670A"/>
    <w:rsid w:val="00DB1732"/>
    <w:rsid w:val="00DB1969"/>
    <w:rsid w:val="00DB3C20"/>
    <w:rsid w:val="00DB7256"/>
    <w:rsid w:val="00DC3F5F"/>
    <w:rsid w:val="00DC5FA6"/>
    <w:rsid w:val="00DC60FE"/>
    <w:rsid w:val="00DD2615"/>
    <w:rsid w:val="00DD39B8"/>
    <w:rsid w:val="00DD40F9"/>
    <w:rsid w:val="00DD5422"/>
    <w:rsid w:val="00DE1B72"/>
    <w:rsid w:val="00DE2C23"/>
    <w:rsid w:val="00DF29D3"/>
    <w:rsid w:val="00DF6235"/>
    <w:rsid w:val="00DF7CEF"/>
    <w:rsid w:val="00E0744B"/>
    <w:rsid w:val="00E112E2"/>
    <w:rsid w:val="00E1295C"/>
    <w:rsid w:val="00E16290"/>
    <w:rsid w:val="00E17E1C"/>
    <w:rsid w:val="00E21E4C"/>
    <w:rsid w:val="00E221C2"/>
    <w:rsid w:val="00E27C83"/>
    <w:rsid w:val="00E301F8"/>
    <w:rsid w:val="00E332A9"/>
    <w:rsid w:val="00E36F58"/>
    <w:rsid w:val="00E4193A"/>
    <w:rsid w:val="00E4769B"/>
    <w:rsid w:val="00E50602"/>
    <w:rsid w:val="00E56071"/>
    <w:rsid w:val="00E57612"/>
    <w:rsid w:val="00E6124D"/>
    <w:rsid w:val="00E6711F"/>
    <w:rsid w:val="00E67ECA"/>
    <w:rsid w:val="00E800DB"/>
    <w:rsid w:val="00E84B50"/>
    <w:rsid w:val="00E863F8"/>
    <w:rsid w:val="00E93F8D"/>
    <w:rsid w:val="00E94072"/>
    <w:rsid w:val="00E968CD"/>
    <w:rsid w:val="00E979D6"/>
    <w:rsid w:val="00EB12F7"/>
    <w:rsid w:val="00EB2573"/>
    <w:rsid w:val="00EB7424"/>
    <w:rsid w:val="00EC21D9"/>
    <w:rsid w:val="00EC41E4"/>
    <w:rsid w:val="00EC607C"/>
    <w:rsid w:val="00ED3BE6"/>
    <w:rsid w:val="00ED7730"/>
    <w:rsid w:val="00ED7D53"/>
    <w:rsid w:val="00EE0A48"/>
    <w:rsid w:val="00EE2019"/>
    <w:rsid w:val="00EE411A"/>
    <w:rsid w:val="00EE5A0F"/>
    <w:rsid w:val="00EE74D6"/>
    <w:rsid w:val="00EF05F1"/>
    <w:rsid w:val="00EF0FE3"/>
    <w:rsid w:val="00EF144A"/>
    <w:rsid w:val="00EF2266"/>
    <w:rsid w:val="00EF318C"/>
    <w:rsid w:val="00EF4132"/>
    <w:rsid w:val="00F01125"/>
    <w:rsid w:val="00F013C6"/>
    <w:rsid w:val="00F018D0"/>
    <w:rsid w:val="00F05E02"/>
    <w:rsid w:val="00F06936"/>
    <w:rsid w:val="00F1409A"/>
    <w:rsid w:val="00F1431A"/>
    <w:rsid w:val="00F2140C"/>
    <w:rsid w:val="00F22F45"/>
    <w:rsid w:val="00F2331E"/>
    <w:rsid w:val="00F23529"/>
    <w:rsid w:val="00F24751"/>
    <w:rsid w:val="00F25E81"/>
    <w:rsid w:val="00F30356"/>
    <w:rsid w:val="00F325BC"/>
    <w:rsid w:val="00F33DE2"/>
    <w:rsid w:val="00F353FB"/>
    <w:rsid w:val="00F413F5"/>
    <w:rsid w:val="00F42817"/>
    <w:rsid w:val="00F44713"/>
    <w:rsid w:val="00F474E9"/>
    <w:rsid w:val="00F503A4"/>
    <w:rsid w:val="00F50B6B"/>
    <w:rsid w:val="00F51BA2"/>
    <w:rsid w:val="00F530A2"/>
    <w:rsid w:val="00F601D7"/>
    <w:rsid w:val="00F605E6"/>
    <w:rsid w:val="00F6086C"/>
    <w:rsid w:val="00F61F89"/>
    <w:rsid w:val="00F63741"/>
    <w:rsid w:val="00F651B8"/>
    <w:rsid w:val="00F6765F"/>
    <w:rsid w:val="00F67EAC"/>
    <w:rsid w:val="00F74082"/>
    <w:rsid w:val="00F74CB9"/>
    <w:rsid w:val="00F75550"/>
    <w:rsid w:val="00F8304B"/>
    <w:rsid w:val="00F84BE8"/>
    <w:rsid w:val="00F942E1"/>
    <w:rsid w:val="00F95A14"/>
    <w:rsid w:val="00FA00E1"/>
    <w:rsid w:val="00FA15ED"/>
    <w:rsid w:val="00FA6648"/>
    <w:rsid w:val="00FA7D95"/>
    <w:rsid w:val="00FB1C19"/>
    <w:rsid w:val="00FB1DB0"/>
    <w:rsid w:val="00FB20DB"/>
    <w:rsid w:val="00FB4F48"/>
    <w:rsid w:val="00FB7E76"/>
    <w:rsid w:val="00FC0621"/>
    <w:rsid w:val="00FC1F05"/>
    <w:rsid w:val="00FC333A"/>
    <w:rsid w:val="00FC6340"/>
    <w:rsid w:val="00FC74C6"/>
    <w:rsid w:val="00FD189B"/>
    <w:rsid w:val="00FE0176"/>
    <w:rsid w:val="00FE1AA1"/>
    <w:rsid w:val="00FE1E66"/>
    <w:rsid w:val="00FE2055"/>
    <w:rsid w:val="00FE24AE"/>
    <w:rsid w:val="00FE323D"/>
    <w:rsid w:val="00FE7B5E"/>
    <w:rsid w:val="00FF19BC"/>
    <w:rsid w:val="00FF469D"/>
    <w:rsid w:val="00FF7453"/>
    <w:rsid w:val="00FF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C7EC2"/>
  <w15:docId w15:val="{F95C2CC4-ACF6-48A6-AA8B-F66B4D7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E2F"/>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customStyle="1" w:styleId="FooterChar">
    <w:name w:val="Footer Char"/>
    <w:basedOn w:val="DefaultParagraphFont"/>
    <w:link w:val="Footer"/>
    <w:uiPriority w:val="99"/>
    <w:rsid w:val="00E1295C"/>
    <w:rPr>
      <w:rFonts w:ascii="Arial" w:hAnsi="Arial"/>
      <w:sz w:val="24"/>
      <w:szCs w:val="24"/>
    </w:rPr>
  </w:style>
  <w:style w:type="paragraph" w:styleId="NoSpacing">
    <w:name w:val="No Spacing"/>
    <w:uiPriority w:val="1"/>
    <w:qFormat/>
    <w:rsid w:val="00EE411A"/>
    <w:rPr>
      <w:rFonts w:ascii="Arial" w:hAnsi="Arial"/>
      <w:sz w:val="24"/>
      <w:szCs w:val="24"/>
    </w:rPr>
  </w:style>
  <w:style w:type="paragraph" w:styleId="Title">
    <w:name w:val="Title"/>
    <w:basedOn w:val="Normal"/>
    <w:next w:val="Normal"/>
    <w:link w:val="TitleChar"/>
    <w:uiPriority w:val="10"/>
    <w:qFormat/>
    <w:rsid w:val="008A734E"/>
    <w:pPr>
      <w:spacing w:after="160" w:line="360" w:lineRule="auto"/>
    </w:pPr>
    <w:rPr>
      <w:rFonts w:cs="Arial"/>
      <w:b/>
      <w:bCs/>
      <w:noProof/>
      <w:color w:val="0062AE"/>
      <w:sz w:val="36"/>
      <w:szCs w:val="56"/>
    </w:rPr>
  </w:style>
  <w:style w:type="character" w:customStyle="1" w:styleId="TitleChar">
    <w:name w:val="Title Char"/>
    <w:basedOn w:val="DefaultParagraphFont"/>
    <w:link w:val="Title"/>
    <w:uiPriority w:val="10"/>
    <w:rsid w:val="008A734E"/>
    <w:rPr>
      <w:rFonts w:ascii="Arial" w:hAnsi="Arial" w:cs="Arial"/>
      <w:b/>
      <w:bCs/>
      <w:noProof/>
      <w:color w:val="0062AE"/>
      <w:sz w:val="36"/>
      <w:szCs w:val="56"/>
    </w:rPr>
  </w:style>
  <w:style w:type="paragraph" w:styleId="Subtitle">
    <w:name w:val="Subtitle"/>
    <w:basedOn w:val="Normal"/>
    <w:next w:val="Normal"/>
    <w:link w:val="SubtitleChar"/>
    <w:uiPriority w:val="11"/>
    <w:qFormat/>
    <w:rsid w:val="008A734E"/>
    <w:pPr>
      <w:spacing w:after="160"/>
    </w:pPr>
    <w:rPr>
      <w:rFonts w:cs="Arial"/>
      <w:b/>
      <w:noProof/>
      <w:color w:val="319B31"/>
      <w:sz w:val="28"/>
      <w:szCs w:val="48"/>
    </w:rPr>
  </w:style>
  <w:style w:type="character" w:customStyle="1" w:styleId="SubtitleChar">
    <w:name w:val="Subtitle Char"/>
    <w:basedOn w:val="DefaultParagraphFont"/>
    <w:link w:val="Subtitle"/>
    <w:uiPriority w:val="11"/>
    <w:rsid w:val="008A734E"/>
    <w:rPr>
      <w:rFonts w:ascii="Arial" w:hAnsi="Arial" w:cs="Arial"/>
      <w:b/>
      <w:noProof/>
      <w:color w:val="319B31"/>
      <w:sz w:val="2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BCB653F9C749B2BEF4823F1840ABE9"/>
        <w:category>
          <w:name w:val="General"/>
          <w:gallery w:val="placeholder"/>
        </w:category>
        <w:types>
          <w:type w:val="bbPlcHdr"/>
        </w:types>
        <w:behaviors>
          <w:behavior w:val="content"/>
        </w:behaviors>
        <w:guid w:val="{1C93018A-5E0B-40C7-8775-3D5FAA152B93}"/>
      </w:docPartPr>
      <w:docPartBody>
        <w:p w:rsidR="0070376A" w:rsidRDefault="0070376A" w:rsidP="0070376A">
          <w:pPr>
            <w:pStyle w:val="A3BCB653F9C749B2BEF4823F1840ABE9"/>
          </w:pPr>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6A"/>
    <w:rsid w:val="00177D98"/>
    <w:rsid w:val="001D0FA7"/>
    <w:rsid w:val="002D6807"/>
    <w:rsid w:val="00413D4F"/>
    <w:rsid w:val="00655833"/>
    <w:rsid w:val="0070376A"/>
    <w:rsid w:val="00796115"/>
    <w:rsid w:val="007E2A22"/>
    <w:rsid w:val="009D6310"/>
    <w:rsid w:val="00B00C14"/>
    <w:rsid w:val="00C901FF"/>
    <w:rsid w:val="00E84B50"/>
    <w:rsid w:val="00FF4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76A"/>
    <w:rPr>
      <w:color w:val="808080"/>
    </w:rPr>
  </w:style>
  <w:style w:type="paragraph" w:customStyle="1" w:styleId="A3BCB653F9C749B2BEF4823F1840ABE9">
    <w:name w:val="A3BCB653F9C749B2BEF4823F1840ABE9"/>
    <w:rsid w:val="00703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56dd2197-b210-47fb-97e9-4b8d7abdc0b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15ACFA63E171B4796BB76CE18D9E99A" ma:contentTypeVersion="14" ma:contentTypeDescription="Create a new document." ma:contentTypeScope="" ma:versionID="64e1d61dd2026e8b48acff0bd826518b">
  <xsd:schema xmlns:xsd="http://www.w3.org/2001/XMLSchema" xmlns:xs="http://www.w3.org/2001/XMLSchema" xmlns:p="http://schemas.microsoft.com/office/2006/metadata/properties" xmlns:ns2="30d79745-92fc-4b4e-a213-f975f2a6d945" xmlns:ns3="56dd2197-b210-47fb-97e9-4b8d7abdc0bc" targetNamespace="http://schemas.microsoft.com/office/2006/metadata/properties" ma:root="true" ma:fieldsID="0f0611980e988c893bd06832b16632b5" ns2:_="" ns3:_="">
    <xsd:import namespace="30d79745-92fc-4b4e-a213-f975f2a6d945"/>
    <xsd:import namespace="56dd2197-b210-47fb-97e9-4b8d7abdc0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dd2197-b210-47fb-97e9-4b8d7abdc0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1712A-EB33-4915-8713-4B65E7A48CC6}">
  <ds:schemaRefs>
    <ds:schemaRef ds:uri="http://schemas.microsoft.com/sharepoint/v3/contenttype/forms"/>
  </ds:schemaRefs>
</ds:datastoreItem>
</file>

<file path=customXml/itemProps2.xml><?xml version="1.0" encoding="utf-8"?>
<ds:datastoreItem xmlns:ds="http://schemas.openxmlformats.org/officeDocument/2006/customXml" ds:itemID="{0E54C5B5-2502-44E5-BBD8-EC1863563C42}">
  <ds:schemaRefs>
    <ds:schemaRef ds:uri="http://schemas.microsoft.com/office/2006/metadata/properties"/>
    <ds:schemaRef ds:uri="http://schemas.microsoft.com/office/infopath/2007/PartnerControls"/>
    <ds:schemaRef ds:uri="30d79745-92fc-4b4e-a213-f975f2a6d945"/>
    <ds:schemaRef ds:uri="56dd2197-b210-47fb-97e9-4b8d7abdc0bc"/>
  </ds:schemaRefs>
</ds:datastoreItem>
</file>

<file path=customXml/itemProps3.xml><?xml version="1.0" encoding="utf-8"?>
<ds:datastoreItem xmlns:ds="http://schemas.openxmlformats.org/officeDocument/2006/customXml" ds:itemID="{A95B4ADC-D77C-4880-9D88-76E9512F4557}">
  <ds:schemaRefs>
    <ds:schemaRef ds:uri="http://schemas.openxmlformats.org/officeDocument/2006/bibliography"/>
  </ds:schemaRefs>
</ds:datastoreItem>
</file>

<file path=customXml/itemProps4.xml><?xml version="1.0" encoding="utf-8"?>
<ds:datastoreItem xmlns:ds="http://schemas.openxmlformats.org/officeDocument/2006/customXml" ds:itemID="{E8F2F432-76E8-4493-82F9-8171D5632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79745-92fc-4b4e-a213-f975f2a6d945"/>
    <ds:schemaRef ds:uri="56dd2197-b210-47fb-97e9-4b8d7abdc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Forum Report</dc:title>
  <dc:creator>David Tully</dc:creator>
  <cp:lastModifiedBy>Salma Siddiqua</cp:lastModifiedBy>
  <cp:revision>2</cp:revision>
  <cp:lastPrinted>2013-09-11T15:08:00Z</cp:lastPrinted>
  <dcterms:created xsi:type="dcterms:W3CDTF">2024-10-02T12:53:00Z</dcterms:created>
  <dcterms:modified xsi:type="dcterms:W3CDTF">2024-10-02T12:53:00Z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0x010100615ACFA63E171B4796BB76CE18D9E99A</vt:lpwstr>
  </property>
  <property fmtid="{D5CDD505-2E9C-101B-9397-08002B2CF9AE}" pid="3" name="Order">
    <vt:r8>119800</vt:r8>
  </property>
  <property fmtid="{D5CDD505-2E9C-101B-9397-08002B2CF9AE}" pid="4" name="MediaServiceImageTags">
    <vt:lpwstr/>
  </property>
  <property fmtid="{D5CDD505-2E9C-101B-9397-08002B2CF9AE}" pid="5" name="_ExtendedDescription">
    <vt:lpwstr/>
  </property>
</Properties>
</file>