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460C" w14:textId="6761E2ED" w:rsidR="00AA79F3" w:rsidRPr="007C4F08" w:rsidRDefault="00000000" w:rsidP="007C4F0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F6791">
            <w:t>Dedicated Schools Grant (DSG) 2025-26</w:t>
          </w:r>
        </w:sdtContent>
      </w:sdt>
    </w:p>
    <w:p w14:paraId="585C3F42" w14:textId="6FB58D4A" w:rsidR="006449E3" w:rsidRPr="00091615" w:rsidRDefault="001C5D42" w:rsidP="00091615">
      <w:pPr>
        <w:pStyle w:val="Subtitle"/>
        <w:rPr>
          <w:bCs/>
          <w:szCs w:val="28"/>
        </w:rPr>
      </w:pPr>
      <w:r w:rsidRPr="00091615">
        <w:rPr>
          <w:bCs/>
          <w:szCs w:val="28"/>
        </w:rPr>
        <w:t xml:space="preserve">Agenda Item </w:t>
      </w:r>
      <w:r w:rsidR="0086340F">
        <w:rPr>
          <w:bCs/>
          <w:szCs w:val="28"/>
        </w:rPr>
        <w:t>4</w:t>
      </w:r>
      <w:r w:rsidR="00CA5EC5" w:rsidRPr="00091615">
        <w:rPr>
          <w:bCs/>
          <w:szCs w:val="28"/>
        </w:rPr>
        <w:t xml:space="preserve"> - </w:t>
      </w:r>
      <w:r w:rsidR="00340436" w:rsidRPr="00091615">
        <w:rPr>
          <w:bCs/>
          <w:szCs w:val="28"/>
        </w:rPr>
        <w:t>Dedicated Schools Budget (DSG</w:t>
      </w:r>
      <w:r w:rsidR="009004FD" w:rsidRPr="00091615">
        <w:rPr>
          <w:bCs/>
          <w:szCs w:val="28"/>
        </w:rPr>
        <w:t>) 2</w:t>
      </w:r>
      <w:r w:rsidR="006449E3" w:rsidRPr="00091615">
        <w:rPr>
          <w:bCs/>
          <w:szCs w:val="28"/>
        </w:rPr>
        <w:t>02</w:t>
      </w:r>
      <w:r w:rsidR="009004FD" w:rsidRPr="00091615">
        <w:rPr>
          <w:bCs/>
          <w:szCs w:val="28"/>
        </w:rPr>
        <w:t>5</w:t>
      </w:r>
      <w:r w:rsidR="006449E3" w:rsidRPr="00091615">
        <w:rPr>
          <w:bCs/>
          <w:szCs w:val="28"/>
        </w:rPr>
        <w:t>-</w:t>
      </w:r>
      <w:r w:rsidR="00550F98" w:rsidRPr="00091615">
        <w:rPr>
          <w:bCs/>
          <w:szCs w:val="28"/>
        </w:rPr>
        <w:t>20</w:t>
      </w:r>
      <w:r w:rsidR="006449E3" w:rsidRPr="00091615">
        <w:rPr>
          <w:bCs/>
          <w:szCs w:val="28"/>
        </w:rPr>
        <w:t>2</w:t>
      </w:r>
      <w:r w:rsidR="009004FD" w:rsidRPr="00091615">
        <w:rPr>
          <w:bCs/>
          <w:szCs w:val="28"/>
        </w:rPr>
        <w:t>6</w:t>
      </w:r>
      <w:r w:rsidR="00183947" w:rsidRPr="00091615">
        <w:rPr>
          <w:bCs/>
          <w:szCs w:val="28"/>
        </w:rPr>
        <w:t xml:space="preserve"> including Financial Settlement </w:t>
      </w:r>
      <w:r w:rsidR="004E1ADD" w:rsidRPr="00091615">
        <w:rPr>
          <w:bCs/>
          <w:szCs w:val="28"/>
        </w:rPr>
        <w:t>and Final Formula Allocations</w:t>
      </w:r>
    </w:p>
    <w:p w14:paraId="4517B8AB" w14:textId="77777777" w:rsidR="0011184E" w:rsidRDefault="0011184E" w:rsidP="0011184E">
      <w:pPr>
        <w:pStyle w:val="NoSpacing"/>
      </w:pPr>
    </w:p>
    <w:p w14:paraId="3FE4D449" w14:textId="16406F8C" w:rsidR="006B657F" w:rsidRPr="0011184E" w:rsidRDefault="006B657F" w:rsidP="0011184E">
      <w:pPr>
        <w:pStyle w:val="NoSpacing"/>
        <w:rPr>
          <w:b/>
          <w:bCs/>
        </w:rPr>
      </w:pPr>
      <w:r w:rsidRPr="0011184E">
        <w:rPr>
          <w:b/>
          <w:bCs/>
        </w:rPr>
        <w:t>Date Prepared:  2 January 2025</w:t>
      </w:r>
    </w:p>
    <w:p w14:paraId="48B0C212" w14:textId="77777777" w:rsidR="006B657F" w:rsidRPr="0011184E" w:rsidRDefault="006B657F" w:rsidP="0011184E">
      <w:pPr>
        <w:pStyle w:val="NoSpacing"/>
        <w:rPr>
          <w:b/>
          <w:bCs/>
        </w:rPr>
      </w:pPr>
    </w:p>
    <w:p w14:paraId="4012064E" w14:textId="53FE7788" w:rsidR="006B657F" w:rsidRPr="0011184E" w:rsidRDefault="006B657F" w:rsidP="0011184E">
      <w:pPr>
        <w:pStyle w:val="NoSpacing"/>
        <w:rPr>
          <w:b/>
          <w:bCs/>
        </w:rPr>
      </w:pPr>
      <w:r w:rsidRPr="0011184E">
        <w:rPr>
          <w:b/>
          <w:bCs/>
        </w:rPr>
        <w:t>Date to present the paper to Schools Forum: 15 January 2025</w:t>
      </w:r>
    </w:p>
    <w:p w14:paraId="0E88A90B" w14:textId="77777777" w:rsidR="006B657F" w:rsidRPr="0011184E" w:rsidRDefault="006B657F" w:rsidP="0011184E">
      <w:pPr>
        <w:pStyle w:val="NoSpacing"/>
        <w:rPr>
          <w:b/>
          <w:bCs/>
          <w:u w:val="single"/>
        </w:rPr>
      </w:pPr>
    </w:p>
    <w:p w14:paraId="2BC9C225" w14:textId="6EFDAA9C" w:rsidR="006B657F" w:rsidRPr="0011184E" w:rsidRDefault="006B657F" w:rsidP="0011184E">
      <w:pPr>
        <w:pStyle w:val="NoSpacing"/>
        <w:rPr>
          <w:b/>
          <w:bCs/>
        </w:rPr>
      </w:pPr>
      <w:r w:rsidRPr="0011184E">
        <w:rPr>
          <w:b/>
          <w:bCs/>
        </w:rPr>
        <w:t>Author of the paper:</w:t>
      </w:r>
      <w:r w:rsidR="002F6791">
        <w:rPr>
          <w:b/>
          <w:bCs/>
        </w:rPr>
        <w:t xml:space="preserve"> </w:t>
      </w:r>
      <w:r w:rsidRPr="0011184E">
        <w:rPr>
          <w:b/>
          <w:bCs/>
        </w:rPr>
        <w:t>Terry Shaw</w:t>
      </w:r>
    </w:p>
    <w:p w14:paraId="7629D34A" w14:textId="77777777" w:rsidR="006B657F" w:rsidRPr="0011184E" w:rsidRDefault="006B657F" w:rsidP="0011184E">
      <w:pPr>
        <w:pStyle w:val="NoSpacing"/>
        <w:rPr>
          <w:b/>
          <w:bCs/>
        </w:rPr>
      </w:pPr>
    </w:p>
    <w:p w14:paraId="3D9BB385" w14:textId="77777777" w:rsidR="006B657F" w:rsidRPr="0011184E" w:rsidRDefault="006B657F" w:rsidP="0011184E">
      <w:pPr>
        <w:pStyle w:val="NoSpacing"/>
        <w:rPr>
          <w:b/>
          <w:bCs/>
        </w:rPr>
      </w:pPr>
      <w:r w:rsidRPr="0011184E">
        <w:rPr>
          <w:b/>
          <w:bCs/>
        </w:rPr>
        <w:t>Officer to present the paper to Schools Forum: Terry Shaw</w:t>
      </w:r>
    </w:p>
    <w:p w14:paraId="1942D60D" w14:textId="77777777" w:rsidR="006B657F" w:rsidRPr="0011184E" w:rsidRDefault="006B657F" w:rsidP="0011184E">
      <w:pPr>
        <w:pStyle w:val="NoSpacing"/>
        <w:rPr>
          <w:b/>
          <w:bCs/>
        </w:rPr>
      </w:pPr>
    </w:p>
    <w:p w14:paraId="5AA2AD8F" w14:textId="77777777" w:rsidR="00764062" w:rsidRDefault="006B657F" w:rsidP="00764062">
      <w:pPr>
        <w:pStyle w:val="NoSpacing"/>
        <w:rPr>
          <w:b/>
          <w:bCs/>
        </w:rPr>
      </w:pPr>
      <w:r w:rsidRPr="0011184E">
        <w:rPr>
          <w:b/>
          <w:bCs/>
        </w:rPr>
        <w:t xml:space="preserve">Details on who has been consulted with on this paper to date: </w:t>
      </w:r>
    </w:p>
    <w:p w14:paraId="1D7245B0" w14:textId="07D3925D" w:rsidR="00F23361" w:rsidRPr="00764062" w:rsidRDefault="00764062" w:rsidP="00764062">
      <w:pPr>
        <w:pStyle w:val="NoSpacing"/>
        <w:rPr>
          <w:b/>
          <w:bCs/>
        </w:rPr>
      </w:pPr>
      <w:r>
        <w:rPr>
          <w:b/>
          <w:bCs/>
        </w:rPr>
        <w:t>Sara Walsingham / Akrom Miah / Shamima Hussain</w:t>
      </w:r>
    </w:p>
    <w:p w14:paraId="6ABC2E35" w14:textId="77777777" w:rsidR="006449E3" w:rsidRDefault="006449E3" w:rsidP="00B75E3F">
      <w:pPr>
        <w:rPr>
          <w:color w:val="000000"/>
        </w:rPr>
      </w:pPr>
    </w:p>
    <w:p w14:paraId="668FB50A" w14:textId="77777777" w:rsidR="00764062" w:rsidRPr="00C722D2" w:rsidRDefault="00764062" w:rsidP="00B75E3F">
      <w:pPr>
        <w:rPr>
          <w:color w:val="000000"/>
        </w:rPr>
      </w:pPr>
    </w:p>
    <w:p w14:paraId="5045928D" w14:textId="77777777" w:rsidR="006449E3" w:rsidRPr="00C722D2" w:rsidRDefault="006449E3" w:rsidP="00340436">
      <w:pPr>
        <w:rPr>
          <w:bCs/>
        </w:rPr>
      </w:pPr>
      <w:r w:rsidRPr="00C722D2">
        <w:rPr>
          <w:b/>
        </w:rPr>
        <w:t>Executive Summary</w:t>
      </w:r>
    </w:p>
    <w:p w14:paraId="18140943" w14:textId="0E175E2B" w:rsidR="006449E3" w:rsidRPr="00C722D2" w:rsidRDefault="006449E3" w:rsidP="00D30C23">
      <w:pPr>
        <w:rPr>
          <w:bCs/>
        </w:rPr>
      </w:pPr>
      <w:r w:rsidRPr="00C722D2">
        <w:rPr>
          <w:bCs/>
        </w:rPr>
        <w:t xml:space="preserve">This report sets out the </w:t>
      </w:r>
      <w:r w:rsidR="00340436" w:rsidRPr="00C722D2">
        <w:rPr>
          <w:bCs/>
        </w:rPr>
        <w:t xml:space="preserve">Dedicated Schools Budget (DSG) announced in December </w:t>
      </w:r>
      <w:r w:rsidR="00A9752B" w:rsidRPr="00C722D2">
        <w:rPr>
          <w:bCs/>
        </w:rPr>
        <w:t xml:space="preserve">2024 </w:t>
      </w:r>
      <w:r w:rsidRPr="00C722D2">
        <w:rPr>
          <w:bCs/>
        </w:rPr>
        <w:t>for the financial year 202</w:t>
      </w:r>
      <w:r w:rsidR="00A9752B" w:rsidRPr="00C722D2">
        <w:rPr>
          <w:bCs/>
        </w:rPr>
        <w:t>5</w:t>
      </w:r>
      <w:r w:rsidRPr="00C722D2">
        <w:rPr>
          <w:bCs/>
        </w:rPr>
        <w:t>-</w:t>
      </w:r>
      <w:r w:rsidR="00A9752B" w:rsidRPr="00C722D2">
        <w:rPr>
          <w:bCs/>
        </w:rPr>
        <w:t>2026.</w:t>
      </w:r>
      <w:r w:rsidRPr="00C722D2">
        <w:rPr>
          <w:bCs/>
        </w:rPr>
        <w:t xml:space="preserve"> </w:t>
      </w:r>
    </w:p>
    <w:p w14:paraId="53B4013E" w14:textId="77777777" w:rsidR="006449E3" w:rsidRPr="00C722D2" w:rsidRDefault="006449E3" w:rsidP="006449E3">
      <w:pPr>
        <w:spacing w:after="120"/>
        <w:rPr>
          <w:b/>
        </w:rPr>
      </w:pPr>
    </w:p>
    <w:p w14:paraId="3BA08050" w14:textId="77777777" w:rsidR="006449E3" w:rsidRPr="00C722D2" w:rsidRDefault="006449E3" w:rsidP="006449E3">
      <w:pPr>
        <w:spacing w:after="120"/>
        <w:rPr>
          <w:b/>
        </w:rPr>
      </w:pPr>
      <w:r w:rsidRPr="00C722D2">
        <w:rPr>
          <w:b/>
        </w:rPr>
        <w:t xml:space="preserve">Details of recommendations and timescales for decisions: </w:t>
      </w:r>
    </w:p>
    <w:p w14:paraId="6A186196" w14:textId="78D0DEB6" w:rsidR="00CC4CE1" w:rsidRPr="00C722D2" w:rsidRDefault="006449E3" w:rsidP="006449E3">
      <w:r w:rsidRPr="00C722D2">
        <w:rPr>
          <w:bCs/>
        </w:rPr>
        <w:t xml:space="preserve">Schools Forum are asked to </w:t>
      </w:r>
      <w:r w:rsidR="00340436" w:rsidRPr="00C722D2">
        <w:rPr>
          <w:bCs/>
        </w:rPr>
        <w:t>note the report</w:t>
      </w:r>
    </w:p>
    <w:p w14:paraId="668674A3" w14:textId="77777777" w:rsidR="00710735" w:rsidRPr="00C722D2" w:rsidRDefault="00710735" w:rsidP="00710735">
      <w:pPr>
        <w:pStyle w:val="ListParagraph"/>
        <w:rPr>
          <w:rFonts w:cs="Arial"/>
          <w:color w:val="000000"/>
        </w:rPr>
      </w:pPr>
    </w:p>
    <w:p w14:paraId="3F4EFDBD" w14:textId="0DF42411" w:rsidR="00CC4CE1" w:rsidRDefault="00CC4CE1" w:rsidP="00534043">
      <w:pPr>
        <w:pStyle w:val="NoSpacing"/>
        <w:sectPr w:rsidR="00CC4CE1" w:rsidSect="009728BB">
          <w:headerReference w:type="default" r:id="rId12"/>
          <w:pgSz w:w="11906" w:h="16838"/>
          <w:pgMar w:top="2835" w:right="1440" w:bottom="1440" w:left="1440" w:header="708" w:footer="708" w:gutter="0"/>
          <w:cols w:space="708"/>
          <w:docGrid w:linePitch="360"/>
        </w:sectPr>
      </w:pPr>
    </w:p>
    <w:p w14:paraId="00772E5A" w14:textId="474E6E2A" w:rsidR="00D23BA2" w:rsidRDefault="00D23BA2" w:rsidP="001A610F">
      <w:pPr>
        <w:pStyle w:val="TOCHeading"/>
        <w:spacing w:before="0" w:line="240" w:lineRule="auto"/>
      </w:pPr>
    </w:p>
    <w:p w14:paraId="1187ECB4" w14:textId="77777777" w:rsidR="006449E3" w:rsidRPr="00165DB6" w:rsidRDefault="006449E3" w:rsidP="006449E3">
      <w:pPr>
        <w:pStyle w:val="ListParagraph"/>
        <w:numPr>
          <w:ilvl w:val="0"/>
          <w:numId w:val="4"/>
        </w:numPr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  <w:r w:rsidRPr="00165DB6">
        <w:rPr>
          <w:rFonts w:eastAsiaTheme="minorEastAsia" w:cs="Arial"/>
          <w:b/>
          <w:bCs/>
          <w:color w:val="319B31"/>
          <w:sz w:val="28"/>
          <w:szCs w:val="28"/>
        </w:rPr>
        <w:t>Background</w:t>
      </w:r>
    </w:p>
    <w:p w14:paraId="26906A71" w14:textId="77777777" w:rsidR="006449E3" w:rsidRPr="00CC3A17" w:rsidRDefault="006449E3" w:rsidP="006449E3">
      <w:pPr>
        <w:jc w:val="both"/>
      </w:pPr>
    </w:p>
    <w:p w14:paraId="49E52B52" w14:textId="4912E70E" w:rsidR="00C719D5" w:rsidRPr="00C719D5" w:rsidRDefault="00F65A6A" w:rsidP="00F65A6A">
      <w:pPr>
        <w:pStyle w:val="NoSpacing"/>
        <w:ind w:left="426" w:hanging="426"/>
      </w:pPr>
      <w:r>
        <w:t>1.1</w:t>
      </w:r>
      <w:r>
        <w:tab/>
      </w:r>
      <w:r w:rsidR="00795319">
        <w:t xml:space="preserve">The </w:t>
      </w:r>
      <w:r w:rsidR="00C719D5">
        <w:t xml:space="preserve">Dedicated </w:t>
      </w:r>
      <w:r w:rsidR="007B51FD">
        <w:t>S</w:t>
      </w:r>
      <w:r w:rsidR="00C719D5">
        <w:t xml:space="preserve">chools Grant </w:t>
      </w:r>
      <w:r w:rsidR="007B51FD">
        <w:t xml:space="preserve">(DSG) </w:t>
      </w:r>
      <w:r w:rsidR="00C719D5">
        <w:t xml:space="preserve">allocations for </w:t>
      </w:r>
      <w:r w:rsidR="007B51FD">
        <w:t>the four DSG</w:t>
      </w:r>
      <w:r w:rsidR="00C719D5">
        <w:t xml:space="preserve"> blocks were announce</w:t>
      </w:r>
      <w:r w:rsidR="00A9752B">
        <w:t>d</w:t>
      </w:r>
      <w:r w:rsidR="00C719D5">
        <w:t xml:space="preserve"> on 1</w:t>
      </w:r>
      <w:r>
        <w:t>8</w:t>
      </w:r>
      <w:r w:rsidRPr="00F65A6A">
        <w:rPr>
          <w:vertAlign w:val="superscript"/>
        </w:rPr>
        <w:t>th</w:t>
      </w:r>
      <w:r>
        <w:t xml:space="preserve"> </w:t>
      </w:r>
      <w:r w:rsidR="00C719D5">
        <w:t>December 202</w:t>
      </w:r>
      <w:r>
        <w:t>4</w:t>
      </w:r>
      <w:r w:rsidR="00C719D5">
        <w:t xml:space="preserve">.  The </w:t>
      </w:r>
      <w:r w:rsidR="00330D82">
        <w:t>S</w:t>
      </w:r>
      <w:r w:rsidR="00C719D5">
        <w:t xml:space="preserve">chools and </w:t>
      </w:r>
      <w:r w:rsidR="00330D82">
        <w:t>C</w:t>
      </w:r>
      <w:r w:rsidR="00C719D5">
        <w:t>entra</w:t>
      </w:r>
      <w:r w:rsidR="00330D82">
        <w:t>l</w:t>
      </w:r>
      <w:r w:rsidR="00C719D5">
        <w:t xml:space="preserve"> </w:t>
      </w:r>
      <w:r w:rsidR="00330D82">
        <w:t>S</w:t>
      </w:r>
      <w:r w:rsidR="00C719D5">
        <w:t xml:space="preserve">chools </w:t>
      </w:r>
      <w:r w:rsidR="00330D82">
        <w:t xml:space="preserve">Services </w:t>
      </w:r>
      <w:r w:rsidR="00C719D5">
        <w:t>block</w:t>
      </w:r>
      <w:r w:rsidR="00330D82">
        <w:t>s</w:t>
      </w:r>
      <w:r w:rsidR="00C719D5">
        <w:t xml:space="preserve"> are now fixed for the year; the </w:t>
      </w:r>
      <w:r w:rsidR="00330D82">
        <w:t>H</w:t>
      </w:r>
      <w:r w:rsidR="00C719D5">
        <w:t>igh Needs block will be updated for minor formula headings in 202</w:t>
      </w:r>
      <w:r w:rsidR="001C2244">
        <w:t>5</w:t>
      </w:r>
      <w:r w:rsidR="00C719D5">
        <w:t xml:space="preserve">; and the </w:t>
      </w:r>
      <w:r w:rsidR="00330D82">
        <w:t>E</w:t>
      </w:r>
      <w:r w:rsidR="00C719D5">
        <w:t xml:space="preserve">arly </w:t>
      </w:r>
      <w:r w:rsidR="00330D82">
        <w:t>Y</w:t>
      </w:r>
      <w:r w:rsidR="00C719D5">
        <w:t xml:space="preserve">ears block </w:t>
      </w:r>
      <w:r w:rsidR="00330D82">
        <w:t xml:space="preserve">funding rates have been announced, but pupil numbers will </w:t>
      </w:r>
      <w:r w:rsidR="00C719D5">
        <w:t>be announced in 202</w:t>
      </w:r>
      <w:r w:rsidR="001C2244">
        <w:t>5</w:t>
      </w:r>
      <w:r w:rsidR="00C719D5">
        <w:t>.</w:t>
      </w:r>
    </w:p>
    <w:p w14:paraId="2F81488F" w14:textId="77777777" w:rsidR="00330D82" w:rsidRDefault="00330D82" w:rsidP="00F65A6A">
      <w:pPr>
        <w:pStyle w:val="NoSpacing"/>
        <w:rPr>
          <w:rFonts w:eastAsiaTheme="minorEastAsia"/>
          <w:b/>
          <w:bCs/>
          <w:color w:val="319B31"/>
          <w:sz w:val="28"/>
          <w:szCs w:val="28"/>
        </w:rPr>
      </w:pPr>
    </w:p>
    <w:tbl>
      <w:tblPr>
        <w:tblW w:w="9225" w:type="dxa"/>
        <w:tblInd w:w="421" w:type="dxa"/>
        <w:tblLook w:val="04A0" w:firstRow="1" w:lastRow="0" w:firstColumn="1" w:lastColumn="0" w:noHBand="0" w:noVBand="1"/>
      </w:tblPr>
      <w:tblGrid>
        <w:gridCol w:w="3681"/>
        <w:gridCol w:w="1559"/>
        <w:gridCol w:w="1329"/>
        <w:gridCol w:w="1417"/>
        <w:gridCol w:w="1239"/>
      </w:tblGrid>
      <w:tr w:rsidR="00330D82" w:rsidRPr="00330D82" w14:paraId="69F3CA41" w14:textId="77777777" w:rsidTr="003A093A">
        <w:trPr>
          <w:trHeight w:val="5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02C" w14:textId="77777777" w:rsidR="00330D82" w:rsidRPr="00330D82" w:rsidRDefault="00330D82" w:rsidP="00E32B5E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DSG before academy recoupment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0A0" w14:textId="7EBBC396" w:rsidR="00330D82" w:rsidRPr="003A093A" w:rsidRDefault="00255417" w:rsidP="0096120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546BE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D68EF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-20</w:t>
            </w:r>
            <w:r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546BE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330D82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£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69D" w14:textId="76BF9BF5" w:rsidR="00330D82" w:rsidRPr="003A093A" w:rsidRDefault="00255417" w:rsidP="0096120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D68EF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5-2026</w:t>
            </w:r>
            <w:r w:rsidR="00330D82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A64" w14:textId="77777777" w:rsidR="00B12F7A" w:rsidRPr="003A093A" w:rsidRDefault="007B51FD" w:rsidP="0096120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</w:t>
            </w:r>
            <w:r w:rsidR="00330D82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ariance</w:t>
            </w:r>
            <w:r w:rsidR="004F7CBA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2F7A"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2624050E" w14:textId="5054F590" w:rsidR="00330D82" w:rsidRPr="003A093A" w:rsidRDefault="004F7CBA" w:rsidP="0096120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2D7" w14:textId="0983BD9B" w:rsidR="00330D82" w:rsidRPr="003A093A" w:rsidRDefault="00330D82" w:rsidP="0096120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  <w:r w:rsid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Increase / (Decrease)</w:t>
            </w:r>
          </w:p>
        </w:tc>
      </w:tr>
      <w:tr w:rsidR="00330D82" w:rsidRPr="00330D82" w14:paraId="5E8A6061" w14:textId="77777777" w:rsidTr="003A093A">
        <w:trPr>
          <w:trHeight w:val="2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6C05E" w:fill="F2F2F2"/>
            <w:vAlign w:val="center"/>
            <w:hideMark/>
          </w:tcPr>
          <w:p w14:paraId="48A30BE2" w14:textId="6D3B4354" w:rsidR="00330D82" w:rsidRPr="00330D82" w:rsidRDefault="00330D82" w:rsidP="0096120B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 xml:space="preserve">Schools </w:t>
            </w:r>
            <w:r w:rsidR="00E32B5E"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 w:rsidRPr="00330D82">
              <w:rPr>
                <w:rFonts w:eastAsia="Times New Roman"/>
                <w:color w:val="000000"/>
                <w:sz w:val="20"/>
                <w:szCs w:val="20"/>
              </w:rPr>
              <w:t>lock (SB)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C900" w14:textId="425B9A45" w:rsidR="00330D82" w:rsidRPr="00330D82" w:rsidRDefault="00E546BE" w:rsidP="00E546BE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303,863,963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E0F" w14:textId="14D3F8FA" w:rsidR="00330D82" w:rsidRPr="00330D82" w:rsidRDefault="004F7CB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319,780,270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CCBF" w14:textId="756EA09A" w:rsidR="00330D82" w:rsidRPr="00330D82" w:rsidRDefault="003A093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15,916,307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972D" w14:textId="0E371679" w:rsidR="00330D82" w:rsidRPr="00330D82" w:rsidRDefault="003A093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5.24</w:t>
            </w:r>
            <w:r w:rsidR="00330D82" w:rsidRPr="00330D82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</w:tr>
      <w:tr w:rsidR="00330D82" w:rsidRPr="00330D82" w14:paraId="561F8192" w14:textId="77777777" w:rsidTr="003A093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6C05E" w:fill="F2F2F2"/>
            <w:vAlign w:val="center"/>
            <w:hideMark/>
          </w:tcPr>
          <w:p w14:paraId="7DA04A91" w14:textId="326A0186" w:rsidR="00330D82" w:rsidRPr="00330D82" w:rsidRDefault="00330D82" w:rsidP="0096120B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 xml:space="preserve">Central </w:t>
            </w:r>
            <w:r w:rsidR="00E32B5E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330D82">
              <w:rPr>
                <w:rFonts w:eastAsia="Times New Roman"/>
                <w:color w:val="000000"/>
                <w:sz w:val="20"/>
                <w:szCs w:val="20"/>
              </w:rPr>
              <w:t xml:space="preserve">chool </w:t>
            </w:r>
            <w:r w:rsidR="00E32B5E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330D82">
              <w:rPr>
                <w:rFonts w:eastAsia="Times New Roman"/>
                <w:color w:val="000000"/>
                <w:sz w:val="20"/>
                <w:szCs w:val="20"/>
              </w:rPr>
              <w:t xml:space="preserve">ervices </w:t>
            </w:r>
            <w:r w:rsidR="00E32B5E"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 w:rsidRPr="00330D82">
              <w:rPr>
                <w:rFonts w:eastAsia="Times New Roman"/>
                <w:color w:val="000000"/>
                <w:sz w:val="20"/>
                <w:szCs w:val="20"/>
              </w:rPr>
              <w:t>lock (CSSB)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9B02" w14:textId="722FFA83" w:rsidR="00330D82" w:rsidRPr="00330D82" w:rsidRDefault="00DE1286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2,9</w:t>
            </w:r>
            <w:r w:rsidR="00061DD9">
              <w:rPr>
                <w:rFonts w:eastAsia="Times New Roman"/>
                <w:color w:val="000000"/>
                <w:sz w:val="20"/>
                <w:szCs w:val="20"/>
              </w:rPr>
              <w:t>29,610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58CB" w14:textId="0C7D3E00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2,9</w:t>
            </w:r>
            <w:r w:rsidR="004F7CBA">
              <w:rPr>
                <w:rFonts w:eastAsia="Times New Roman"/>
                <w:color w:val="000000"/>
                <w:sz w:val="20"/>
                <w:szCs w:val="20"/>
              </w:rPr>
              <w:t>43,124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F03" w14:textId="01AAD664" w:rsidR="00330D82" w:rsidRPr="00330D82" w:rsidRDefault="003A093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13,514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12B4" w14:textId="66B18CAF" w:rsidR="00330D82" w:rsidRPr="00330D82" w:rsidRDefault="003A093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0.46%</w:t>
            </w:r>
          </w:p>
        </w:tc>
      </w:tr>
      <w:tr w:rsidR="00330D82" w:rsidRPr="00330D82" w14:paraId="4DA29D1A" w14:textId="77777777" w:rsidTr="003A093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6C05E" w:fill="F2F2F2"/>
            <w:vAlign w:val="center"/>
            <w:hideMark/>
          </w:tcPr>
          <w:p w14:paraId="11BAAA77" w14:textId="209C82E3" w:rsidR="00330D82" w:rsidRPr="00330D82" w:rsidRDefault="00330D82" w:rsidP="0096120B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 xml:space="preserve">High </w:t>
            </w:r>
            <w:r w:rsidR="00E32B5E">
              <w:rPr>
                <w:rFonts w:eastAsia="Times New Roman"/>
                <w:color w:val="000000"/>
                <w:sz w:val="20"/>
                <w:szCs w:val="20"/>
              </w:rPr>
              <w:t>N</w:t>
            </w:r>
            <w:r w:rsidRPr="00330D82">
              <w:rPr>
                <w:rFonts w:eastAsia="Times New Roman"/>
                <w:color w:val="000000"/>
                <w:sz w:val="20"/>
                <w:szCs w:val="20"/>
              </w:rPr>
              <w:t xml:space="preserve">eeds </w:t>
            </w:r>
            <w:r w:rsidR="00E32B5E"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 w:rsidRPr="00330D82">
              <w:rPr>
                <w:rFonts w:eastAsia="Times New Roman"/>
                <w:color w:val="000000"/>
                <w:sz w:val="20"/>
                <w:szCs w:val="20"/>
              </w:rPr>
              <w:t>lock (HNB)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4456" w14:textId="420E36E0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061DD9">
              <w:rPr>
                <w:rFonts w:eastAsia="Times New Roman"/>
                <w:color w:val="000000"/>
                <w:sz w:val="20"/>
                <w:szCs w:val="20"/>
              </w:rPr>
              <w:t>6,583,740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E6C" w14:textId="5ACFC38B" w:rsidR="00330D82" w:rsidRPr="00330D82" w:rsidRDefault="004F7CB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92,282,839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AD47" w14:textId="6498FB89" w:rsidR="00330D82" w:rsidRPr="00330D82" w:rsidRDefault="003A093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5,699,099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7E7" w14:textId="2DDB6524" w:rsidR="00330D82" w:rsidRPr="00330D82" w:rsidRDefault="003A093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6.58%</w:t>
            </w:r>
          </w:p>
        </w:tc>
      </w:tr>
      <w:tr w:rsidR="00330D82" w:rsidRPr="00330D82" w14:paraId="7651308D" w14:textId="77777777" w:rsidTr="003A093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6C05E" w:fill="F2F2F2"/>
            <w:vAlign w:val="center"/>
            <w:hideMark/>
          </w:tcPr>
          <w:p w14:paraId="7271D385" w14:textId="1BE69CEF" w:rsidR="00330D82" w:rsidRPr="00330D82" w:rsidRDefault="00330D82" w:rsidP="0096120B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 xml:space="preserve">Early </w:t>
            </w:r>
            <w:r w:rsidR="00E32B5E">
              <w:rPr>
                <w:rFonts w:eastAsia="Times New Roman"/>
                <w:color w:val="000000"/>
                <w:sz w:val="20"/>
                <w:szCs w:val="20"/>
              </w:rPr>
              <w:t>Y</w:t>
            </w:r>
            <w:r w:rsidRPr="00330D82">
              <w:rPr>
                <w:rFonts w:eastAsia="Times New Roman"/>
                <w:color w:val="000000"/>
                <w:sz w:val="20"/>
                <w:szCs w:val="20"/>
              </w:rPr>
              <w:t xml:space="preserve">ears </w:t>
            </w:r>
            <w:r w:rsidR="00E32B5E"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 w:rsidRPr="00330D82">
              <w:rPr>
                <w:rFonts w:eastAsia="Times New Roman"/>
                <w:color w:val="000000"/>
                <w:sz w:val="20"/>
                <w:szCs w:val="20"/>
              </w:rPr>
              <w:t>lock (EYB)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96CC" w14:textId="36F30836" w:rsidR="00330D82" w:rsidRPr="00330D82" w:rsidRDefault="004F7CB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39,041,883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ECB" w14:textId="4C29BA45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4F7CBA">
              <w:rPr>
                <w:rFonts w:eastAsia="Times New Roman"/>
                <w:color w:val="000000"/>
                <w:sz w:val="20"/>
                <w:szCs w:val="20"/>
              </w:rPr>
              <w:t>5,886,941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2B70" w14:textId="640E79F9" w:rsidR="00330D82" w:rsidRPr="00330D82" w:rsidRDefault="003A093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6,845,058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62A5" w14:textId="10963121" w:rsidR="00330D82" w:rsidRPr="00330D82" w:rsidRDefault="003A093A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17.53%</w:t>
            </w:r>
          </w:p>
        </w:tc>
      </w:tr>
      <w:tr w:rsidR="00330D82" w:rsidRPr="00330D82" w14:paraId="287B9DDD" w14:textId="77777777" w:rsidTr="003A093A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C05E" w:fill="F2F2F2"/>
            <w:vAlign w:val="center"/>
            <w:hideMark/>
          </w:tcPr>
          <w:p w14:paraId="23C07E8C" w14:textId="4149D512" w:rsidR="00330D82" w:rsidRPr="00330D82" w:rsidRDefault="00330D82" w:rsidP="0096120B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DSG </w:t>
            </w:r>
            <w:r w:rsidR="00E32B5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llocation (£s)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74F0" w14:textId="46785476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DE12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4F7C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2,419,196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D7E2" w14:textId="35606FE3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F7C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60,893,174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186" w14:textId="77777777" w:rsidR="00330D82" w:rsidRPr="003A093A" w:rsidRDefault="00330D82" w:rsidP="003A093A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22,216,177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32E6" w14:textId="28F67D64" w:rsidR="00330D82" w:rsidRPr="003A093A" w:rsidRDefault="003A093A" w:rsidP="003A093A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A093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6.58%</w:t>
            </w:r>
          </w:p>
        </w:tc>
      </w:tr>
    </w:tbl>
    <w:p w14:paraId="2963E7E0" w14:textId="77777777" w:rsidR="00330D82" w:rsidRDefault="00330D82" w:rsidP="00330D82">
      <w:pPr>
        <w:jc w:val="both"/>
        <w:rPr>
          <w:b/>
          <w:bCs/>
          <w:color w:val="319B31"/>
          <w:sz w:val="28"/>
          <w:szCs w:val="28"/>
        </w:rPr>
      </w:pPr>
    </w:p>
    <w:p w14:paraId="256D4694" w14:textId="77777777" w:rsidR="00340436" w:rsidRDefault="00340436" w:rsidP="00340436">
      <w:pPr>
        <w:pStyle w:val="ListParagraph"/>
      </w:pPr>
    </w:p>
    <w:p w14:paraId="412B692B" w14:textId="78B82D95" w:rsidR="006449E3" w:rsidRDefault="00C719D5" w:rsidP="006449E3">
      <w:pPr>
        <w:pStyle w:val="ListParagraph"/>
        <w:numPr>
          <w:ilvl w:val="0"/>
          <w:numId w:val="4"/>
        </w:numPr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  <w:r>
        <w:rPr>
          <w:rFonts w:eastAsiaTheme="minorEastAsia" w:cs="Arial"/>
          <w:b/>
          <w:bCs/>
          <w:color w:val="319B31"/>
          <w:sz w:val="28"/>
          <w:szCs w:val="28"/>
        </w:rPr>
        <w:t xml:space="preserve">Main points </w:t>
      </w:r>
      <w:r w:rsidR="006449E3" w:rsidRPr="00165DB6">
        <w:rPr>
          <w:rFonts w:eastAsiaTheme="minorEastAsia" w:cs="Arial"/>
          <w:b/>
          <w:bCs/>
          <w:color w:val="319B31"/>
          <w:sz w:val="28"/>
          <w:szCs w:val="28"/>
        </w:rPr>
        <w:t>for 202</w:t>
      </w:r>
      <w:r w:rsidR="003A093A">
        <w:rPr>
          <w:rFonts w:eastAsiaTheme="minorEastAsia" w:cs="Arial"/>
          <w:b/>
          <w:bCs/>
          <w:color w:val="319B31"/>
          <w:sz w:val="28"/>
          <w:szCs w:val="28"/>
        </w:rPr>
        <w:t>5</w:t>
      </w:r>
      <w:r w:rsidR="006449E3" w:rsidRPr="00165DB6">
        <w:rPr>
          <w:rFonts w:eastAsiaTheme="minorEastAsia" w:cs="Arial"/>
          <w:b/>
          <w:bCs/>
          <w:color w:val="319B31"/>
          <w:sz w:val="28"/>
          <w:szCs w:val="28"/>
        </w:rPr>
        <w:t>-</w:t>
      </w:r>
      <w:r w:rsidR="003A093A">
        <w:rPr>
          <w:rFonts w:eastAsiaTheme="minorEastAsia" w:cs="Arial"/>
          <w:b/>
          <w:bCs/>
          <w:color w:val="319B31"/>
          <w:sz w:val="28"/>
          <w:szCs w:val="28"/>
        </w:rPr>
        <w:t>20</w:t>
      </w:r>
      <w:r w:rsidR="006449E3" w:rsidRPr="00165DB6">
        <w:rPr>
          <w:rFonts w:eastAsiaTheme="minorEastAsia" w:cs="Arial"/>
          <w:b/>
          <w:bCs/>
          <w:color w:val="319B31"/>
          <w:sz w:val="28"/>
          <w:szCs w:val="28"/>
        </w:rPr>
        <w:t>2</w:t>
      </w:r>
      <w:r w:rsidR="003A093A">
        <w:rPr>
          <w:rFonts w:eastAsiaTheme="minorEastAsia" w:cs="Arial"/>
          <w:b/>
          <w:bCs/>
          <w:color w:val="319B31"/>
          <w:sz w:val="28"/>
          <w:szCs w:val="28"/>
        </w:rPr>
        <w:t>6</w:t>
      </w:r>
    </w:p>
    <w:p w14:paraId="6BEF8D1C" w14:textId="77777777" w:rsidR="00330D82" w:rsidRDefault="00330D82" w:rsidP="00330D82">
      <w:pPr>
        <w:pStyle w:val="ListParagraph"/>
        <w:ind w:left="360"/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</w:p>
    <w:p w14:paraId="7AE5300A" w14:textId="06805DA9" w:rsidR="005B5EFA" w:rsidRPr="005B5EFA" w:rsidRDefault="005B5EFA" w:rsidP="005B5EFA">
      <w:pPr>
        <w:jc w:val="both"/>
        <w:rPr>
          <w:b/>
          <w:bCs/>
          <w:color w:val="319B31"/>
          <w:sz w:val="28"/>
          <w:szCs w:val="28"/>
        </w:rPr>
      </w:pPr>
      <w:r>
        <w:rPr>
          <w:b/>
          <w:bCs/>
          <w:color w:val="319B31"/>
          <w:sz w:val="28"/>
          <w:szCs w:val="28"/>
        </w:rPr>
        <w:t>Schools Block</w:t>
      </w:r>
    </w:p>
    <w:p w14:paraId="54C29861" w14:textId="6A85E7C8" w:rsidR="005B5EFA" w:rsidRDefault="00FA737D" w:rsidP="00FA737D">
      <w:pPr>
        <w:pStyle w:val="NoSpacing"/>
        <w:ind w:left="720" w:hanging="720"/>
      </w:pPr>
      <w:r>
        <w:t>2.1</w:t>
      </w:r>
      <w:r>
        <w:tab/>
      </w:r>
      <w:r w:rsidR="005B5EFA">
        <w:t>The schools budget planning stage is coming to an end</w:t>
      </w:r>
      <w:r w:rsidR="005B5EFA" w:rsidRPr="004D5C22">
        <w:t xml:space="preserve"> </w:t>
      </w:r>
      <w:r w:rsidR="005B5EFA">
        <w:t>with the submission of the Authority Pro-Forma tool (APT</w:t>
      </w:r>
      <w:r w:rsidR="005B5EFA" w:rsidRPr="00255417">
        <w:t xml:space="preserve">) </w:t>
      </w:r>
      <w:r w:rsidR="00255417" w:rsidRPr="00255417">
        <w:t>by</w:t>
      </w:r>
      <w:r w:rsidR="005B5EFA" w:rsidRPr="00255417">
        <w:t xml:space="preserve"> </w:t>
      </w:r>
      <w:r w:rsidR="00255417" w:rsidRPr="00255417">
        <w:t>22</w:t>
      </w:r>
      <w:r w:rsidR="002F6791">
        <w:t xml:space="preserve"> </w:t>
      </w:r>
      <w:r w:rsidR="005B5EFA">
        <w:t>January.</w:t>
      </w:r>
      <w:r w:rsidR="002F6791">
        <w:t xml:space="preserve"> </w:t>
      </w:r>
      <w:r w:rsidR="005B5EFA">
        <w:t xml:space="preserve">This will be challenged and ultimately agreed by the Education Services Funding Agency (ESFA) before </w:t>
      </w:r>
      <w:r>
        <w:t>the Council</w:t>
      </w:r>
      <w:r w:rsidR="005B5EFA">
        <w:t xml:space="preserve"> can confirm the final schools block budget share for 202</w:t>
      </w:r>
      <w:r>
        <w:t>5</w:t>
      </w:r>
      <w:r w:rsidR="005B5EFA">
        <w:t>-</w:t>
      </w:r>
      <w:r>
        <w:t>20</w:t>
      </w:r>
      <w:r w:rsidR="005B5EFA">
        <w:t>2</w:t>
      </w:r>
      <w:r>
        <w:t>6</w:t>
      </w:r>
      <w:r w:rsidR="005B5EFA">
        <w:t xml:space="preserve">. </w:t>
      </w:r>
      <w:r>
        <w:t xml:space="preserve"> </w:t>
      </w:r>
      <w:r w:rsidR="005B5EFA">
        <w:t>This budget will not alter in year.</w:t>
      </w:r>
    </w:p>
    <w:p w14:paraId="7642D46D" w14:textId="77777777" w:rsidR="005B5EFA" w:rsidRDefault="005B5EFA" w:rsidP="00FA737D">
      <w:pPr>
        <w:pStyle w:val="NoSpacing"/>
      </w:pPr>
    </w:p>
    <w:p w14:paraId="226910B5" w14:textId="73B1F55E" w:rsidR="00330D82" w:rsidRDefault="00FA737D" w:rsidP="00FA737D">
      <w:pPr>
        <w:pStyle w:val="NoSpacing"/>
        <w:ind w:left="720" w:hanging="720"/>
      </w:pPr>
      <w:r>
        <w:t>2.2</w:t>
      </w:r>
      <w:r>
        <w:tab/>
      </w:r>
      <w:r w:rsidR="00F848BE" w:rsidRPr="00F848BE">
        <w:t xml:space="preserve">There has been a decrease of 1.84% in primary </w:t>
      </w:r>
      <w:proofErr w:type="gramStart"/>
      <w:r w:rsidR="00F848BE" w:rsidRPr="00F848BE">
        <w:t>schools</w:t>
      </w:r>
      <w:proofErr w:type="gramEnd"/>
      <w:r w:rsidR="00F848BE" w:rsidRPr="00F848BE">
        <w:t xml:space="preserve"> pupils and a decrease of 1.95% in secondary school pupils between 2024-2025 and 2025-2026.</w:t>
      </w:r>
      <w:r w:rsidR="005B5EFA">
        <w:t xml:space="preserve"> </w:t>
      </w:r>
    </w:p>
    <w:p w14:paraId="6ED755D0" w14:textId="77777777" w:rsidR="00EA7552" w:rsidRDefault="00EA7552" w:rsidP="00FA737D">
      <w:pPr>
        <w:pStyle w:val="NoSpacing"/>
        <w:ind w:left="720" w:hanging="720"/>
      </w:pPr>
    </w:p>
    <w:p w14:paraId="70D87613" w14:textId="31334D03" w:rsidR="00EA7552" w:rsidRDefault="00EA7552" w:rsidP="00FA737D">
      <w:pPr>
        <w:pStyle w:val="NoSpacing"/>
        <w:ind w:left="720" w:hanging="720"/>
      </w:pPr>
      <w:r>
        <w:t>2.3</w:t>
      </w:r>
      <w:r>
        <w:tab/>
      </w:r>
      <w:r w:rsidR="00F848BE">
        <w:t xml:space="preserve">However, the </w:t>
      </w:r>
      <w:r w:rsidR="000137FD">
        <w:t>Primary</w:t>
      </w:r>
      <w:r w:rsidR="00C20D00">
        <w:t xml:space="preserve"> and Secondary Schools unit of funding has increased between 202</w:t>
      </w:r>
      <w:r w:rsidR="00DD0D90">
        <w:t xml:space="preserve">4-2025 and 2025-2026 </w:t>
      </w:r>
      <w:r w:rsidR="002F6791">
        <w:t>more than</w:t>
      </w:r>
      <w:r w:rsidR="00DD0D90">
        <w:t xml:space="preserve"> these percentages, meaning that schools should</w:t>
      </w:r>
      <w:r w:rsidR="00247EBA">
        <w:t xml:space="preserve"> see increases rather than decreases to their budgets for 2025-2026.</w:t>
      </w:r>
    </w:p>
    <w:p w14:paraId="33B2C7A5" w14:textId="77777777" w:rsidR="00330D82" w:rsidRPr="00330D82" w:rsidRDefault="00330D82" w:rsidP="00FA737D">
      <w:pPr>
        <w:pStyle w:val="NoSpacing"/>
      </w:pPr>
    </w:p>
    <w:p w14:paraId="174DF774" w14:textId="0B37C6FD" w:rsidR="005B5EFA" w:rsidRPr="0038344C" w:rsidRDefault="00FA737D" w:rsidP="00247EBA">
      <w:pPr>
        <w:pStyle w:val="NoSpacing"/>
        <w:ind w:left="720" w:hanging="720"/>
      </w:pPr>
      <w:r>
        <w:t>2.</w:t>
      </w:r>
      <w:r w:rsidR="00247EBA">
        <w:t>4</w:t>
      </w:r>
      <w:r w:rsidR="00247EBA">
        <w:tab/>
      </w:r>
      <w:r w:rsidR="00D24EEB">
        <w:t xml:space="preserve">The </w:t>
      </w:r>
      <w:r w:rsidR="005B5EFA" w:rsidRPr="00340436">
        <w:t xml:space="preserve">Schools Finance Team have completed modelling of </w:t>
      </w:r>
      <w:r w:rsidR="005B5EFA">
        <w:t>allocations</w:t>
      </w:r>
      <w:r w:rsidR="005B5EFA" w:rsidRPr="00340436">
        <w:t xml:space="preserve"> for individual schools and schools will receive </w:t>
      </w:r>
      <w:r w:rsidR="00242965">
        <w:t xml:space="preserve">their </w:t>
      </w:r>
      <w:r w:rsidR="005B5EFA" w:rsidRPr="00340436">
        <w:t xml:space="preserve">indicative budgets </w:t>
      </w:r>
      <w:r w:rsidR="00242965">
        <w:t>by the end of February 2025.</w:t>
      </w:r>
      <w:r w:rsidR="005B5EFA" w:rsidRPr="00340436">
        <w:t xml:space="preserve"> </w:t>
      </w:r>
      <w:r w:rsidR="0038344C">
        <w:t xml:space="preserve"> </w:t>
      </w:r>
      <w:r w:rsidR="00D23BA2">
        <w:t xml:space="preserve"> </w:t>
      </w:r>
    </w:p>
    <w:p w14:paraId="362CFBF6" w14:textId="77777777" w:rsidR="0038344C" w:rsidRDefault="0038344C" w:rsidP="0038344C">
      <w:pPr>
        <w:pStyle w:val="ListParagraph"/>
      </w:pPr>
    </w:p>
    <w:p w14:paraId="2C8CF202" w14:textId="41A3C2DF" w:rsidR="004B022C" w:rsidRDefault="004B022C">
      <w:pPr>
        <w:spacing w:line="259" w:lineRule="auto"/>
        <w:rPr>
          <w:rFonts w:eastAsia="Times New Roman" w:cs="Times New Roman"/>
        </w:rPr>
      </w:pPr>
      <w:r>
        <w:br w:type="page"/>
      </w:r>
    </w:p>
    <w:p w14:paraId="4277BD94" w14:textId="77777777" w:rsidR="0038344C" w:rsidRDefault="0038344C" w:rsidP="0038344C">
      <w:pPr>
        <w:pStyle w:val="ListParagraph"/>
        <w:ind w:left="567"/>
        <w:jc w:val="both"/>
      </w:pPr>
    </w:p>
    <w:p w14:paraId="17FD95D7" w14:textId="5C5DE6D7" w:rsidR="00795319" w:rsidRPr="005B5EFA" w:rsidRDefault="005B5EFA" w:rsidP="005B5EFA">
      <w:pPr>
        <w:jc w:val="both"/>
        <w:rPr>
          <w:b/>
          <w:bCs/>
          <w:color w:val="319B31"/>
          <w:sz w:val="28"/>
          <w:szCs w:val="28"/>
        </w:rPr>
      </w:pPr>
      <w:r w:rsidRPr="005B5EFA">
        <w:rPr>
          <w:b/>
          <w:bCs/>
          <w:color w:val="319B31"/>
          <w:sz w:val="28"/>
          <w:szCs w:val="28"/>
        </w:rPr>
        <w:t>Hi</w:t>
      </w:r>
      <w:r>
        <w:rPr>
          <w:b/>
          <w:bCs/>
          <w:color w:val="319B31"/>
          <w:sz w:val="28"/>
          <w:szCs w:val="28"/>
        </w:rPr>
        <w:t>g</w:t>
      </w:r>
      <w:r w:rsidRPr="005B5EFA">
        <w:rPr>
          <w:b/>
          <w:bCs/>
          <w:color w:val="319B31"/>
          <w:sz w:val="28"/>
          <w:szCs w:val="28"/>
        </w:rPr>
        <w:t>h Needs Block</w:t>
      </w:r>
    </w:p>
    <w:p w14:paraId="47E49010" w14:textId="30D9E526" w:rsidR="00D23BA2" w:rsidRPr="00D23BA2" w:rsidRDefault="00E62EF9" w:rsidP="00494395">
      <w:pPr>
        <w:pStyle w:val="NoSpacing"/>
        <w:ind w:left="720" w:hanging="720"/>
      </w:pPr>
      <w:r>
        <w:t>2.5</w:t>
      </w:r>
      <w:r w:rsidR="00494395">
        <w:tab/>
      </w:r>
      <w:r w:rsidR="004C019F" w:rsidRPr="00D23BA2">
        <w:t>The</w:t>
      </w:r>
      <w:r w:rsidR="00C719D5" w:rsidRPr="00D23BA2">
        <w:t xml:space="preserve"> </w:t>
      </w:r>
      <w:r w:rsidR="00795319" w:rsidRPr="00D23BA2">
        <w:t xml:space="preserve">High Needs Block </w:t>
      </w:r>
      <w:r w:rsidR="008678D9">
        <w:t>allocation</w:t>
      </w:r>
      <w:r w:rsidR="0038344C" w:rsidRPr="00D23BA2">
        <w:t xml:space="preserve"> has increased by </w:t>
      </w:r>
      <w:r w:rsidR="003B014B">
        <w:t>6.58</w:t>
      </w:r>
      <w:r w:rsidR="0038344C" w:rsidRPr="00D23BA2">
        <w:t xml:space="preserve">%, </w:t>
      </w:r>
      <w:r w:rsidR="003B014B">
        <w:t xml:space="preserve">even though the number of </w:t>
      </w:r>
      <w:r w:rsidR="004B022C">
        <w:t>pupils in special schools and special academies across the Borough has reduced by 4.87%</w:t>
      </w:r>
    </w:p>
    <w:p w14:paraId="1D9457C3" w14:textId="77777777" w:rsidR="00D23BA2" w:rsidRDefault="00D23BA2" w:rsidP="00494395">
      <w:pPr>
        <w:pStyle w:val="NoSpacing"/>
        <w:ind w:left="720" w:hanging="720"/>
      </w:pPr>
    </w:p>
    <w:p w14:paraId="3F1A7827" w14:textId="2CADC045" w:rsidR="00795319" w:rsidRPr="00C719D5" w:rsidRDefault="00E62EF9" w:rsidP="00494395">
      <w:pPr>
        <w:pStyle w:val="NoSpacing"/>
        <w:ind w:left="720" w:hanging="720"/>
      </w:pPr>
      <w:r>
        <w:t>2.6</w:t>
      </w:r>
      <w:r>
        <w:tab/>
      </w:r>
      <w:r w:rsidR="00D23BA2" w:rsidRPr="00D23BA2">
        <w:t>The H</w:t>
      </w:r>
      <w:r w:rsidR="004B022C">
        <w:t xml:space="preserve">igh </w:t>
      </w:r>
      <w:r w:rsidR="00D23BA2" w:rsidRPr="00D23BA2">
        <w:t>N</w:t>
      </w:r>
      <w:r w:rsidR="004B022C">
        <w:t>eeds</w:t>
      </w:r>
      <w:r w:rsidR="0038344C" w:rsidRPr="00D23BA2">
        <w:t xml:space="preserve"> </w:t>
      </w:r>
      <w:r w:rsidR="004B022C">
        <w:t xml:space="preserve">Block </w:t>
      </w:r>
      <w:r w:rsidR="00B35E8D">
        <w:t xml:space="preserve">carried a </w:t>
      </w:r>
      <w:r w:rsidR="0074683F" w:rsidRPr="00D23BA2">
        <w:t xml:space="preserve">deficit </w:t>
      </w:r>
      <w:r w:rsidR="00B35E8D">
        <w:t xml:space="preserve">balance of </w:t>
      </w:r>
      <w:r w:rsidR="002B6854">
        <w:t xml:space="preserve">£19.1 million </w:t>
      </w:r>
      <w:r w:rsidR="0074683F" w:rsidRPr="00D23BA2">
        <w:t xml:space="preserve">at the end of </w:t>
      </w:r>
      <w:r w:rsidR="00D23BA2">
        <w:t>20</w:t>
      </w:r>
      <w:r w:rsidR="0074683F" w:rsidRPr="00D23BA2">
        <w:t>2</w:t>
      </w:r>
      <w:r w:rsidR="00494395">
        <w:t>3</w:t>
      </w:r>
      <w:r w:rsidR="0074683F" w:rsidRPr="00D23BA2">
        <w:t>-2</w:t>
      </w:r>
      <w:r w:rsidR="00494395">
        <w:t>4</w:t>
      </w:r>
      <w:r w:rsidR="00D23BA2">
        <w:t xml:space="preserve">.  Projections </w:t>
      </w:r>
      <w:r w:rsidR="0051652D">
        <w:t xml:space="preserve">for 2024-2025 </w:t>
      </w:r>
      <w:r w:rsidR="0013788F">
        <w:t>are showing a</w:t>
      </w:r>
      <w:r w:rsidR="006559EA">
        <w:t>n in-year overspend of £</w:t>
      </w:r>
      <w:r w:rsidR="00F72412">
        <w:t>5.2 million, thus projecting a carried forward cumulative deficit balance of £</w:t>
      </w:r>
      <w:r w:rsidR="00D218F6">
        <w:t>24.3 million at the end of 2024-2025 across the High Needs Block.</w:t>
      </w:r>
    </w:p>
    <w:p w14:paraId="2154B6B3" w14:textId="77777777" w:rsidR="00C719D5" w:rsidRDefault="00C719D5" w:rsidP="00494395">
      <w:pPr>
        <w:pStyle w:val="NoSpacing"/>
        <w:ind w:left="720" w:hanging="720"/>
      </w:pPr>
    </w:p>
    <w:p w14:paraId="7D7F1558" w14:textId="59AAB7D3" w:rsidR="005B5EFA" w:rsidRDefault="005B5EFA" w:rsidP="005B5EFA">
      <w:pPr>
        <w:rPr>
          <w:b/>
          <w:bCs/>
          <w:color w:val="319B31"/>
          <w:sz w:val="28"/>
          <w:szCs w:val="28"/>
        </w:rPr>
      </w:pPr>
      <w:r w:rsidRPr="005B5EFA">
        <w:rPr>
          <w:b/>
          <w:bCs/>
          <w:color w:val="319B31"/>
          <w:sz w:val="28"/>
          <w:szCs w:val="28"/>
        </w:rPr>
        <w:t>Early Years and Central Schools Services Block</w:t>
      </w:r>
      <w:r>
        <w:rPr>
          <w:b/>
          <w:bCs/>
          <w:color w:val="319B31"/>
          <w:sz w:val="28"/>
          <w:szCs w:val="28"/>
        </w:rPr>
        <w:t>s</w:t>
      </w:r>
    </w:p>
    <w:p w14:paraId="5474C696" w14:textId="77777777" w:rsidR="007368CD" w:rsidRPr="007368CD" w:rsidRDefault="007368CD" w:rsidP="005B5EFA">
      <w:pPr>
        <w:rPr>
          <w:b/>
          <w:bCs/>
          <w:color w:val="319B31"/>
          <w:sz w:val="12"/>
          <w:szCs w:val="12"/>
        </w:rPr>
      </w:pPr>
    </w:p>
    <w:p w14:paraId="268E1B0C" w14:textId="037CD67B" w:rsidR="008B7266" w:rsidRPr="008B7266" w:rsidRDefault="007368CD" w:rsidP="007368CD">
      <w:pPr>
        <w:pStyle w:val="NoSpacing"/>
        <w:ind w:left="720" w:hanging="720"/>
      </w:pPr>
      <w:r>
        <w:t>2.7</w:t>
      </w:r>
      <w:r>
        <w:tab/>
      </w:r>
      <w:r w:rsidR="00330D82" w:rsidRPr="007368CD">
        <w:t>T</w:t>
      </w:r>
      <w:r w:rsidR="004C019F" w:rsidRPr="007368CD">
        <w:t xml:space="preserve">he Early Years Block (EYB) </w:t>
      </w:r>
      <w:r w:rsidR="00D23BA2" w:rsidRPr="007368CD">
        <w:t xml:space="preserve">unit of funding </w:t>
      </w:r>
      <w:r w:rsidR="00855BD2" w:rsidRPr="007368CD">
        <w:t xml:space="preserve">for </w:t>
      </w:r>
      <w:proofErr w:type="gramStart"/>
      <w:r w:rsidR="00855BD2" w:rsidRPr="007368CD">
        <w:t>3 and 4 year</w:t>
      </w:r>
      <w:r w:rsidR="008B7266" w:rsidRPr="007368CD">
        <w:t>-</w:t>
      </w:r>
      <w:r w:rsidR="00855BD2" w:rsidRPr="007368CD">
        <w:t>olds</w:t>
      </w:r>
      <w:proofErr w:type="gramEnd"/>
      <w:r w:rsidR="00855BD2" w:rsidRPr="007368CD">
        <w:t xml:space="preserve"> </w:t>
      </w:r>
      <w:r w:rsidR="00D23BA2" w:rsidRPr="007368CD">
        <w:t xml:space="preserve">has been inflated by </w:t>
      </w:r>
      <w:r w:rsidR="001528A7">
        <w:t>3.63</w:t>
      </w:r>
      <w:r w:rsidR="00D23BA2" w:rsidRPr="007368CD">
        <w:t>%</w:t>
      </w:r>
      <w:r w:rsidR="00855BD2" w:rsidRPr="007368CD">
        <w:t xml:space="preserve">.  </w:t>
      </w:r>
    </w:p>
    <w:p w14:paraId="6D87B9FC" w14:textId="77777777" w:rsidR="008B7266" w:rsidRPr="008B7266" w:rsidRDefault="008B7266" w:rsidP="007368CD">
      <w:pPr>
        <w:pStyle w:val="NoSpacing"/>
      </w:pPr>
    </w:p>
    <w:p w14:paraId="2C778461" w14:textId="77777777" w:rsidR="007975F7" w:rsidRDefault="007368CD" w:rsidP="007368CD">
      <w:pPr>
        <w:pStyle w:val="NoSpacing"/>
        <w:ind w:left="720" w:hanging="720"/>
      </w:pPr>
      <w:r>
        <w:t>2.8</w:t>
      </w:r>
      <w:r>
        <w:tab/>
      </w:r>
      <w:r w:rsidR="00855BD2" w:rsidRPr="007368CD">
        <w:t xml:space="preserve">The </w:t>
      </w:r>
      <w:proofErr w:type="gramStart"/>
      <w:r w:rsidR="00855BD2" w:rsidRPr="007368CD">
        <w:t>2 year</w:t>
      </w:r>
      <w:r w:rsidR="00957174">
        <w:t xml:space="preserve"> </w:t>
      </w:r>
      <w:r w:rsidR="00855BD2" w:rsidRPr="007368CD">
        <w:t>old</w:t>
      </w:r>
      <w:proofErr w:type="gramEnd"/>
      <w:r w:rsidR="00855BD2" w:rsidRPr="007368CD">
        <w:t xml:space="preserve"> funding has been extended to </w:t>
      </w:r>
      <w:r w:rsidR="00164BDC" w:rsidRPr="007368CD">
        <w:t>mirror the 3 and 4 year old formula structure</w:t>
      </w:r>
      <w:r w:rsidR="00957174">
        <w:t>.</w:t>
      </w:r>
      <w:r w:rsidR="008B7266" w:rsidRPr="007368CD">
        <w:t xml:space="preserve">  A</w:t>
      </w:r>
      <w:r w:rsidR="00164BDC" w:rsidRPr="007368CD">
        <w:t>s a result</w:t>
      </w:r>
      <w:r w:rsidR="008B7266" w:rsidRPr="007368CD">
        <w:t>,</w:t>
      </w:r>
      <w:r w:rsidR="00164BDC" w:rsidRPr="007368CD">
        <w:t xml:space="preserve"> the provisional allocation has increase</w:t>
      </w:r>
      <w:r w:rsidR="00892360" w:rsidRPr="007368CD">
        <w:t xml:space="preserve">d by </w:t>
      </w:r>
      <w:r w:rsidR="00700774" w:rsidRPr="007368CD">
        <w:t>£</w:t>
      </w:r>
      <w:r w:rsidR="001A26A6">
        <w:t>5.9</w:t>
      </w:r>
      <w:r w:rsidR="00700774" w:rsidRPr="007368CD">
        <w:t xml:space="preserve"> mill</w:t>
      </w:r>
      <w:r w:rsidR="001A26A6">
        <w:t>ion</w:t>
      </w:r>
      <w:r w:rsidR="00700774" w:rsidRPr="007368CD">
        <w:t xml:space="preserve"> or </w:t>
      </w:r>
      <w:r w:rsidR="00957174">
        <w:t>24.59</w:t>
      </w:r>
      <w:r w:rsidR="00892360" w:rsidRPr="007368CD">
        <w:t xml:space="preserve">% </w:t>
      </w:r>
      <w:r w:rsidR="008B7266" w:rsidRPr="007368CD">
        <w:t xml:space="preserve">overall </w:t>
      </w:r>
      <w:r w:rsidR="00892360" w:rsidRPr="007368CD">
        <w:t>using the 202</w:t>
      </w:r>
      <w:r w:rsidR="001519FC">
        <w:t>4</w:t>
      </w:r>
      <w:r w:rsidR="00892360" w:rsidRPr="007368CD">
        <w:t>-</w:t>
      </w:r>
      <w:r w:rsidR="00957174">
        <w:t>20</w:t>
      </w:r>
      <w:r w:rsidR="00892360" w:rsidRPr="007368CD">
        <w:t>2</w:t>
      </w:r>
      <w:r w:rsidR="001519FC">
        <w:t>5</w:t>
      </w:r>
      <w:r w:rsidR="00892360" w:rsidRPr="007368CD">
        <w:t xml:space="preserve"> pupil count data</w:t>
      </w:r>
      <w:r w:rsidR="008B7266" w:rsidRPr="007368CD">
        <w:t xml:space="preserve">.  </w:t>
      </w:r>
    </w:p>
    <w:p w14:paraId="2308B997" w14:textId="77777777" w:rsidR="007975F7" w:rsidRDefault="007975F7" w:rsidP="007368CD">
      <w:pPr>
        <w:pStyle w:val="NoSpacing"/>
        <w:ind w:left="720" w:hanging="720"/>
      </w:pPr>
    </w:p>
    <w:p w14:paraId="25230221" w14:textId="77777777" w:rsidR="00C722D2" w:rsidRDefault="007975F7" w:rsidP="007368CD">
      <w:pPr>
        <w:pStyle w:val="NoSpacing"/>
        <w:ind w:left="720" w:hanging="720"/>
      </w:pPr>
      <w:r>
        <w:t>2.9</w:t>
      </w:r>
      <w:r>
        <w:tab/>
      </w:r>
      <w:r w:rsidR="001519FC">
        <w:t xml:space="preserve">Under </w:t>
      </w:r>
      <w:proofErr w:type="gramStart"/>
      <w:r w:rsidR="001519FC">
        <w:t>2 year old</w:t>
      </w:r>
      <w:proofErr w:type="gramEnd"/>
      <w:r w:rsidR="001519FC">
        <w:t xml:space="preserve"> funding has been </w:t>
      </w:r>
      <w:r w:rsidR="00B0010A">
        <w:t>also been extended to mirror the 3 and 4 year old formula structure.</w:t>
      </w:r>
      <w:r>
        <w:t xml:space="preserve">  As a result, the provisional allocation has increased by 109.97%</w:t>
      </w:r>
      <w:r w:rsidR="00C722D2">
        <w:t xml:space="preserve"> overall using the 2024-2025 pupil count data.</w:t>
      </w:r>
    </w:p>
    <w:p w14:paraId="12A2345D" w14:textId="77777777" w:rsidR="00C722D2" w:rsidRDefault="00C722D2" w:rsidP="007368CD">
      <w:pPr>
        <w:pStyle w:val="NoSpacing"/>
        <w:ind w:left="720" w:hanging="720"/>
      </w:pPr>
    </w:p>
    <w:p w14:paraId="3CC95843" w14:textId="33689E98" w:rsidR="00D23BA2" w:rsidRPr="008B7266" w:rsidRDefault="00C722D2" w:rsidP="007368CD">
      <w:pPr>
        <w:pStyle w:val="NoSpacing"/>
        <w:ind w:left="720" w:hanging="720"/>
      </w:pPr>
      <w:r>
        <w:t>2.10</w:t>
      </w:r>
      <w:r>
        <w:tab/>
      </w:r>
      <w:r w:rsidR="008B7266" w:rsidRPr="007368CD">
        <w:t xml:space="preserve">Final allocations will be confirmed with the </w:t>
      </w:r>
      <w:r w:rsidR="00330D82" w:rsidRPr="007368CD">
        <w:t>January census</w:t>
      </w:r>
      <w:r w:rsidR="00D23BA2" w:rsidRPr="007368CD">
        <w:t xml:space="preserve">. </w:t>
      </w:r>
    </w:p>
    <w:p w14:paraId="41B86F9D" w14:textId="77777777" w:rsidR="008B7266" w:rsidRPr="00D23BA2" w:rsidRDefault="008B7266" w:rsidP="007368CD">
      <w:pPr>
        <w:pStyle w:val="NoSpacing"/>
      </w:pPr>
    </w:p>
    <w:tbl>
      <w:tblPr>
        <w:tblW w:w="8647" w:type="dxa"/>
        <w:tblInd w:w="704" w:type="dxa"/>
        <w:tblLook w:val="04A0" w:firstRow="1" w:lastRow="0" w:firstColumn="1" w:lastColumn="0" w:noHBand="0" w:noVBand="1"/>
      </w:tblPr>
      <w:tblGrid>
        <w:gridCol w:w="4253"/>
        <w:gridCol w:w="1139"/>
        <w:gridCol w:w="1070"/>
        <w:gridCol w:w="1051"/>
        <w:gridCol w:w="1134"/>
      </w:tblGrid>
      <w:tr w:rsidR="008B7266" w:rsidRPr="008B7266" w14:paraId="25804A18" w14:textId="77777777" w:rsidTr="002F6791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758F3" w14:textId="16D99421" w:rsidR="008B7266" w:rsidRPr="008B7266" w:rsidRDefault="008B7266" w:rsidP="007368CD">
            <w:pPr>
              <w:pStyle w:val="NoSpacing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Indicative 202</w:t>
            </w:r>
            <w:r w:rsidR="004722B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722B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Early years block allocations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853D5" w14:textId="6287ED31" w:rsidR="008B7266" w:rsidRDefault="008B7266" w:rsidP="00FF3212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3&amp;4 Y</w:t>
            </w:r>
            <w:r w:rsidR="000848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ear Olds</w:t>
            </w:r>
          </w:p>
          <w:p w14:paraId="6A7C0CFC" w14:textId="51415B30" w:rsidR="00700774" w:rsidRPr="008B7266" w:rsidRDefault="00700774" w:rsidP="00FF3212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63B61" w14:textId="13A3586E" w:rsidR="008B7266" w:rsidRDefault="008B7266" w:rsidP="00FF3212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Y</w:t>
            </w:r>
            <w:r w:rsidR="000848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ear Olds</w:t>
            </w:r>
          </w:p>
          <w:p w14:paraId="340B0DEB" w14:textId="1B424426" w:rsidR="00700774" w:rsidRPr="008B7266" w:rsidRDefault="00700774" w:rsidP="00FF3212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£000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53482" w14:textId="6D8F5A47" w:rsidR="008B7266" w:rsidRDefault="008B7266" w:rsidP="00FF3212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Under 2 Y</w:t>
            </w:r>
            <w:r w:rsidR="000848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ear </w:t>
            </w: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</w:t>
            </w:r>
            <w:r w:rsidR="000848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lds</w:t>
            </w:r>
          </w:p>
          <w:p w14:paraId="2721B934" w14:textId="52E8792C" w:rsidR="00700774" w:rsidRPr="008B7266" w:rsidRDefault="00700774" w:rsidP="00FF3212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8D88E" w14:textId="0287C186" w:rsidR="008B7266" w:rsidRDefault="008B7266" w:rsidP="00FF3212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F32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FF32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2026</w:t>
            </w:r>
            <w:r w:rsidR="000848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  <w:p w14:paraId="53CAC8A5" w14:textId="0709A27B" w:rsidR="00700774" w:rsidRPr="008B7266" w:rsidRDefault="00700774" w:rsidP="00FF3212">
            <w:pPr>
              <w:pStyle w:val="NoSpacing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£000</w:t>
            </w:r>
          </w:p>
        </w:tc>
      </w:tr>
      <w:tr w:rsidR="00700774" w:rsidRPr="008B7266" w14:paraId="494EBC47" w14:textId="77777777" w:rsidTr="002F6791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740A0" w14:textId="3BF9EB94" w:rsidR="00700774" w:rsidRPr="008B7266" w:rsidRDefault="00700774" w:rsidP="007368CD">
            <w:pPr>
              <w:pStyle w:val="NoSpacing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niversal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ntitlement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72606" w14:textId="046F176B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21,</w:t>
            </w:r>
            <w:r w:rsidR="00A66973">
              <w:rPr>
                <w:color w:val="000000"/>
                <w:sz w:val="20"/>
                <w:szCs w:val="20"/>
              </w:rPr>
              <w:t>258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A7D3C" w14:textId="34F8F486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34475" w14:textId="49D2E0CE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6184B" w14:textId="3487A5B2" w:rsidR="00700774" w:rsidRPr="008B7266" w:rsidRDefault="00A66973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21,258</w:t>
            </w:r>
          </w:p>
        </w:tc>
      </w:tr>
      <w:tr w:rsidR="006559CB" w:rsidRPr="008B7266" w14:paraId="49C3327F" w14:textId="77777777" w:rsidTr="002F6791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7918A" w14:textId="5CCCF221" w:rsidR="006559CB" w:rsidRDefault="006559CB" w:rsidP="007368CD">
            <w:pPr>
              <w:pStyle w:val="NoSpacing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Support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72742" w14:textId="77777777" w:rsidR="006559CB" w:rsidRDefault="006559CB" w:rsidP="00FF3212">
            <w:pPr>
              <w:pStyle w:val="NoSpacing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9FDCB" w14:textId="5482DD6D" w:rsidR="006559CB" w:rsidRDefault="002E3A4C" w:rsidP="00FF3212">
            <w:pPr>
              <w:pStyle w:val="NoSpacing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5,952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A4775" w14:textId="77777777" w:rsidR="006559CB" w:rsidRDefault="006559CB" w:rsidP="00FF3212">
            <w:pPr>
              <w:pStyle w:val="NoSpacing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4573A" w14:textId="27BC43A5" w:rsidR="006559CB" w:rsidRDefault="000E035C" w:rsidP="00FF3212">
            <w:pPr>
              <w:pStyle w:val="NoSpacing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5,952</w:t>
            </w:r>
          </w:p>
        </w:tc>
      </w:tr>
      <w:tr w:rsidR="00700774" w:rsidRPr="008B7266" w14:paraId="54755B08" w14:textId="77777777" w:rsidTr="002F6791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9D11F" w14:textId="355CAEF5" w:rsidR="00700774" w:rsidRPr="008B7266" w:rsidRDefault="00700774" w:rsidP="007368CD">
            <w:pPr>
              <w:pStyle w:val="NoSpacing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dditional 15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Hours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ligible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 w:rsidR="000848FB">
              <w:rPr>
                <w:rFonts w:eastAsia="Times New Roman"/>
                <w:color w:val="000000"/>
                <w:sz w:val="20"/>
                <w:szCs w:val="20"/>
              </w:rPr>
              <w:t>or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</w:t>
            </w:r>
            <w:r w:rsidR="000848FB">
              <w:rPr>
                <w:rFonts w:eastAsia="Times New Roman"/>
                <w:color w:val="000000"/>
                <w:sz w:val="20"/>
                <w:szCs w:val="20"/>
              </w:rPr>
              <w:t>ing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P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arents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89097" w14:textId="1BACAF8C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5,17</w:t>
            </w:r>
            <w:r w:rsidR="000848F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FD449" w14:textId="159F7467" w:rsidR="00700774" w:rsidRPr="008B7266" w:rsidRDefault="002E3A4C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FCFC9" w14:textId="64890C39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F917AB">
              <w:rPr>
                <w:color w:val="000000"/>
                <w:sz w:val="20"/>
                <w:szCs w:val="20"/>
              </w:rPr>
              <w:t>7,091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30EA3" w14:textId="5428154E" w:rsidR="00700774" w:rsidRPr="008B7266" w:rsidRDefault="00BE3E3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  <w:r w:rsidR="003321B2">
              <w:rPr>
                <w:color w:val="000000"/>
                <w:sz w:val="20"/>
                <w:szCs w:val="20"/>
              </w:rPr>
              <w:t>80</w:t>
            </w:r>
          </w:p>
        </w:tc>
      </w:tr>
      <w:tr w:rsidR="00700774" w:rsidRPr="008B7266" w14:paraId="779D5770" w14:textId="77777777" w:rsidTr="002F679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F3C98" w14:textId="7AB52400" w:rsidR="00700774" w:rsidRPr="008B7266" w:rsidRDefault="00700774" w:rsidP="007368CD">
            <w:pPr>
              <w:pStyle w:val="NoSpacing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arly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Y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ears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P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upil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P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remium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44E1C" w14:textId="675F5FFB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4E0ED9">
              <w:rPr>
                <w:color w:val="000000"/>
                <w:sz w:val="20"/>
                <w:szCs w:val="20"/>
              </w:rPr>
              <w:t>495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57F89" w14:textId="2916903B" w:rsidR="00700774" w:rsidRPr="008B7266" w:rsidRDefault="00826E2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A6BE3" w14:textId="459B6BDA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99106" w14:textId="4808851D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826E24">
              <w:rPr>
                <w:color w:val="000000"/>
                <w:sz w:val="20"/>
                <w:szCs w:val="20"/>
              </w:rPr>
              <w:t>602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0774" w:rsidRPr="008B7266" w14:paraId="63BE0217" w14:textId="77777777" w:rsidTr="002F6791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05D5E" w14:textId="29DD42D7" w:rsidR="00700774" w:rsidRPr="008B7266" w:rsidRDefault="00700774" w:rsidP="007368CD">
            <w:pPr>
              <w:pStyle w:val="NoSpacing"/>
              <w:rPr>
                <w:rFonts w:eastAsia="Times New Roman"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Disability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ccess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F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ADEC0" w14:textId="0FFD0972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C67AA">
              <w:rPr>
                <w:color w:val="000000"/>
                <w:sz w:val="20"/>
                <w:szCs w:val="20"/>
              </w:rPr>
              <w:t>224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05266" w14:textId="677C9985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C67AA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60D6A" w14:textId="75DF0B8A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</w:t>
            </w:r>
            <w:r w:rsidR="009C67A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D66CF" w14:textId="683894B4" w:rsidR="00700774" w:rsidRPr="008B7266" w:rsidRDefault="006532E0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B40E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0774" w:rsidRPr="008B7266" w14:paraId="6036A383" w14:textId="77777777" w:rsidTr="002F6791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325F8" w14:textId="3FCA7011" w:rsidR="00700774" w:rsidRPr="008B7266" w:rsidRDefault="00700774" w:rsidP="007368CD">
            <w:pPr>
              <w:pStyle w:val="NoSpacing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aintained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N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ursery </w:t>
            </w:r>
            <w:r w:rsidR="00941ABA">
              <w:rPr>
                <w:rFonts w:eastAsia="Times New Roman"/>
                <w:color w:val="000000"/>
                <w:sz w:val="20"/>
                <w:szCs w:val="20"/>
              </w:rPr>
              <w:t xml:space="preserve">Schools </w:t>
            </w:r>
            <w:r w:rsidR="0062100C">
              <w:rPr>
                <w:rFonts w:eastAsia="Times New Roman"/>
                <w:color w:val="000000"/>
                <w:sz w:val="20"/>
                <w:szCs w:val="20"/>
              </w:rPr>
              <w:t>Supplement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44700" w14:textId="7450982C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7</w:t>
            </w:r>
            <w:r w:rsidR="006532E0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4B5C6" w14:textId="3A40693D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E40A0" w14:textId="56908BC6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20FD8" w14:textId="60C3C9DB" w:rsidR="00700774" w:rsidRPr="008B7266" w:rsidRDefault="006532E0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</w:p>
        </w:tc>
      </w:tr>
      <w:tr w:rsidR="00700774" w:rsidRPr="008B7266" w14:paraId="6FF9C2D7" w14:textId="77777777" w:rsidTr="002F6791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BD4D3" w14:textId="11459DCA" w:rsidR="00700774" w:rsidRPr="008B7266" w:rsidRDefault="00700774" w:rsidP="007368CD">
            <w:pPr>
              <w:pStyle w:val="NoSpacing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Indicative E</w:t>
            </w:r>
            <w:r w:rsidR="00DD25D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arly Years Block</w:t>
            </w: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25D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D25D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DD25D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D25D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05C46" w14:textId="5411A4F8" w:rsidR="00700774" w:rsidRPr="008B7266" w:rsidRDefault="00B606DA" w:rsidP="00FF3212">
            <w:pPr>
              <w:pStyle w:val="NoSpacing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27,933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0B70D" w14:textId="60C05D0F" w:rsidR="00700774" w:rsidRPr="008B7266" w:rsidRDefault="00885C55" w:rsidP="00FF3212">
            <w:pPr>
              <w:pStyle w:val="NoSpacing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10,832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B74D1" w14:textId="14F7B091" w:rsidR="00700774" w:rsidRPr="008B7266" w:rsidRDefault="00885C55" w:rsidP="00FF3212">
            <w:pPr>
              <w:pStyle w:val="NoSpacing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D62F3" w14:textId="4731C9D9" w:rsidR="00700774" w:rsidRPr="008B7266" w:rsidRDefault="000E035C" w:rsidP="00FF3212">
            <w:pPr>
              <w:pStyle w:val="NoSpacing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45,88</w:t>
            </w:r>
            <w:r w:rsidR="009842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00774" w:rsidRPr="008B7266" w14:paraId="6100F7E6" w14:textId="77777777" w:rsidTr="002F6791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D4DAB" w14:textId="2003E026" w:rsidR="00700774" w:rsidRPr="008B7266" w:rsidRDefault="00700774" w:rsidP="007368C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774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="00DD25D1">
              <w:rPr>
                <w:rFonts w:eastAsia="Times New Roman"/>
                <w:color w:val="000000"/>
                <w:sz w:val="20"/>
                <w:szCs w:val="20"/>
              </w:rPr>
              <w:t xml:space="preserve">arly Years Block </w:t>
            </w:r>
            <w:r w:rsidR="00B26674">
              <w:rPr>
                <w:rFonts w:eastAsia="Times New Roman"/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98757" w14:textId="38DD40D7" w:rsidR="00700774" w:rsidRPr="008B7266" w:rsidRDefault="00006500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9F5DD" w14:textId="7D6732D2" w:rsidR="00700774" w:rsidRPr="008B7266" w:rsidRDefault="00700774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E66BEA">
              <w:rPr>
                <w:color w:val="000000"/>
                <w:sz w:val="20"/>
                <w:szCs w:val="20"/>
              </w:rPr>
              <w:t>8,694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9F049" w14:textId="42405DD7" w:rsidR="00700774" w:rsidRPr="008B7266" w:rsidRDefault="00442F1A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3E18F" w14:textId="7A17D4E6" w:rsidR="00700774" w:rsidRPr="008B7266" w:rsidRDefault="008123D5" w:rsidP="00FF3212">
            <w:pPr>
              <w:pStyle w:val="NoSpacing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39,042</w:t>
            </w:r>
          </w:p>
        </w:tc>
      </w:tr>
      <w:tr w:rsidR="00700774" w:rsidRPr="008B7266" w14:paraId="3F1DD59C" w14:textId="77777777" w:rsidTr="002F6791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3214C" w14:textId="6DDDCAAC" w:rsidR="00700774" w:rsidRPr="000848FB" w:rsidRDefault="00B26674" w:rsidP="007368CD">
            <w:pPr>
              <w:pStyle w:val="NoSpacing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700774" w:rsidRPr="000848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ncrease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in </w:t>
            </w:r>
            <w:r w:rsidR="009164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Indicative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Funding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14C48" w14:textId="15570481" w:rsidR="00700774" w:rsidRPr="000848FB" w:rsidRDefault="00700774" w:rsidP="00FF3212">
            <w:pPr>
              <w:pStyle w:val="NoSpacing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848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6901">
              <w:rPr>
                <w:b/>
                <w:bCs/>
                <w:color w:val="000000"/>
                <w:sz w:val="20"/>
                <w:szCs w:val="20"/>
              </w:rPr>
              <w:t>979</w:t>
            </w:r>
            <w:r w:rsidRPr="000848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840BF" w14:textId="468E0F6A" w:rsidR="00700774" w:rsidRPr="000848FB" w:rsidRDefault="00CC6901" w:rsidP="00FF3212">
            <w:pPr>
              <w:pStyle w:val="NoSpacing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8AA04" w14:textId="390E6054" w:rsidR="00700774" w:rsidRPr="000848FB" w:rsidRDefault="00CC6901" w:rsidP="00FF3212">
            <w:pPr>
              <w:pStyle w:val="NoSpacing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F31FF" w14:textId="49417A7F" w:rsidR="00700774" w:rsidRPr="000848FB" w:rsidRDefault="007167EE" w:rsidP="00FF3212">
            <w:pPr>
              <w:pStyle w:val="NoSpacing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6,846</w:t>
            </w:r>
          </w:p>
        </w:tc>
      </w:tr>
      <w:tr w:rsidR="00916475" w:rsidRPr="008B7266" w14:paraId="7AD3E0CB" w14:textId="77777777" w:rsidTr="002F6791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F4072" w14:textId="202D4CB5" w:rsidR="00916475" w:rsidRPr="00074CD8" w:rsidRDefault="00916475" w:rsidP="007368CD">
            <w:pPr>
              <w:pStyle w:val="NoSpacing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74CD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Percentage Increase in Indicative Funding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81FAA" w14:textId="65C644B9" w:rsidR="00916475" w:rsidRPr="00074CD8" w:rsidRDefault="008D13DD" w:rsidP="00FF3212">
            <w:pPr>
              <w:pStyle w:val="NoSpacing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74CD8">
              <w:rPr>
                <w:i/>
                <w:iCs/>
                <w:color w:val="000000"/>
                <w:sz w:val="20"/>
                <w:szCs w:val="20"/>
              </w:rPr>
              <w:t>3.63%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3BD2F" w14:textId="2EB290BB" w:rsidR="00916475" w:rsidRPr="00074CD8" w:rsidRDefault="00074CD8" w:rsidP="00FF3212">
            <w:pPr>
              <w:pStyle w:val="NoSpacing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74CD8">
              <w:rPr>
                <w:i/>
                <w:iCs/>
                <w:color w:val="000000"/>
                <w:sz w:val="20"/>
                <w:szCs w:val="20"/>
              </w:rPr>
              <w:t>24.59%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D9ACD" w14:textId="74E1FED9" w:rsidR="00916475" w:rsidRPr="00074CD8" w:rsidRDefault="005D779D" w:rsidP="00FF3212">
            <w:pPr>
              <w:pStyle w:val="NoSpacing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109.97%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88570" w14:textId="34C2AD8F" w:rsidR="00916475" w:rsidRPr="00074CD8" w:rsidRDefault="00100A8B" w:rsidP="00FF3212">
            <w:pPr>
              <w:pStyle w:val="NoSpacing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17.53%</w:t>
            </w:r>
          </w:p>
        </w:tc>
      </w:tr>
    </w:tbl>
    <w:p w14:paraId="610579FA" w14:textId="77777777" w:rsidR="00D23BA2" w:rsidRPr="00D23BA2" w:rsidRDefault="00D23BA2" w:rsidP="007368CD">
      <w:pPr>
        <w:pStyle w:val="NoSpacing"/>
      </w:pPr>
    </w:p>
    <w:p w14:paraId="5EE20E8A" w14:textId="48DACC6A" w:rsidR="00C719D5" w:rsidRPr="00340436" w:rsidRDefault="007368CD" w:rsidP="007368CD">
      <w:pPr>
        <w:pStyle w:val="NoSpacing"/>
        <w:ind w:left="720" w:hanging="720"/>
      </w:pPr>
      <w:r>
        <w:t>2.</w:t>
      </w:r>
      <w:r w:rsidR="00C722D2">
        <w:t>11</w:t>
      </w:r>
      <w:r>
        <w:tab/>
      </w:r>
      <w:r w:rsidR="00330D82">
        <w:t xml:space="preserve">Proposals for Early Years Block </w:t>
      </w:r>
      <w:r w:rsidR="004C019F">
        <w:t>and a</w:t>
      </w:r>
      <w:r w:rsidR="00C719D5">
        <w:t>greement of t</w:t>
      </w:r>
      <w:r w:rsidR="00C719D5" w:rsidRPr="00340436">
        <w:t xml:space="preserve">he </w:t>
      </w:r>
      <w:r w:rsidR="00C719D5">
        <w:t xml:space="preserve">Central Schools Services Block (CSSB) </w:t>
      </w:r>
      <w:r w:rsidR="00700774">
        <w:t>are</w:t>
      </w:r>
      <w:r w:rsidR="00C719D5">
        <w:t xml:space="preserve"> elsewhere on this meeting agenda</w:t>
      </w:r>
      <w:r w:rsidR="004C019F">
        <w:t>.</w:t>
      </w:r>
    </w:p>
    <w:p w14:paraId="0221EBF8" w14:textId="77777777" w:rsidR="0038344C" w:rsidRDefault="0038344C" w:rsidP="007368CD">
      <w:pPr>
        <w:pStyle w:val="NoSpacing"/>
      </w:pPr>
    </w:p>
    <w:sectPr w:rsidR="0038344C" w:rsidSect="002F6791">
      <w:headerReference w:type="first" r:id="rId13"/>
      <w:pgSz w:w="11906" w:h="16838"/>
      <w:pgMar w:top="2269" w:right="1133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4B98" w14:textId="77777777" w:rsidR="002D1EE5" w:rsidRDefault="002D1EE5" w:rsidP="00101F8B">
      <w:r>
        <w:separator/>
      </w:r>
    </w:p>
    <w:p w14:paraId="12BBDDBD" w14:textId="77777777" w:rsidR="002D1EE5" w:rsidRDefault="002D1EE5" w:rsidP="00101F8B"/>
    <w:p w14:paraId="4C365521" w14:textId="77777777" w:rsidR="002D1EE5" w:rsidRDefault="002D1EE5" w:rsidP="00101F8B"/>
    <w:p w14:paraId="5B6CB90A" w14:textId="77777777" w:rsidR="002D1EE5" w:rsidRDefault="002D1EE5" w:rsidP="00101F8B"/>
    <w:p w14:paraId="75039D9B" w14:textId="77777777" w:rsidR="002D1EE5" w:rsidRDefault="002D1EE5" w:rsidP="00101F8B"/>
    <w:p w14:paraId="26C22F82" w14:textId="77777777" w:rsidR="002D1EE5" w:rsidRDefault="002D1EE5" w:rsidP="00101F8B"/>
  </w:endnote>
  <w:endnote w:type="continuationSeparator" w:id="0">
    <w:p w14:paraId="1A7FD4ED" w14:textId="77777777" w:rsidR="002D1EE5" w:rsidRDefault="002D1EE5" w:rsidP="00101F8B">
      <w:r>
        <w:continuationSeparator/>
      </w:r>
    </w:p>
    <w:p w14:paraId="35183F06" w14:textId="77777777" w:rsidR="002D1EE5" w:rsidRDefault="002D1EE5" w:rsidP="00101F8B"/>
    <w:p w14:paraId="7E369920" w14:textId="77777777" w:rsidR="002D1EE5" w:rsidRDefault="002D1EE5" w:rsidP="00101F8B"/>
    <w:p w14:paraId="0F9D5990" w14:textId="77777777" w:rsidR="002D1EE5" w:rsidRDefault="002D1EE5" w:rsidP="00101F8B"/>
    <w:p w14:paraId="2281A362" w14:textId="77777777" w:rsidR="002D1EE5" w:rsidRDefault="002D1EE5" w:rsidP="00101F8B"/>
    <w:p w14:paraId="6265B7AC" w14:textId="77777777" w:rsidR="002D1EE5" w:rsidRDefault="002D1EE5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CD6BC" w14:textId="77777777" w:rsidR="002D1EE5" w:rsidRDefault="002D1EE5" w:rsidP="00101F8B">
      <w:r>
        <w:separator/>
      </w:r>
    </w:p>
    <w:p w14:paraId="0626CB2F" w14:textId="77777777" w:rsidR="002D1EE5" w:rsidRDefault="002D1EE5" w:rsidP="00101F8B"/>
    <w:p w14:paraId="194D784F" w14:textId="77777777" w:rsidR="002D1EE5" w:rsidRDefault="002D1EE5" w:rsidP="00101F8B"/>
    <w:p w14:paraId="4C0D24F2" w14:textId="77777777" w:rsidR="002D1EE5" w:rsidRDefault="002D1EE5" w:rsidP="00101F8B"/>
    <w:p w14:paraId="2F4F453C" w14:textId="77777777" w:rsidR="002D1EE5" w:rsidRDefault="002D1EE5" w:rsidP="00101F8B"/>
    <w:p w14:paraId="0F1FE92A" w14:textId="77777777" w:rsidR="002D1EE5" w:rsidRDefault="002D1EE5" w:rsidP="00101F8B"/>
  </w:footnote>
  <w:footnote w:type="continuationSeparator" w:id="0">
    <w:p w14:paraId="092C7118" w14:textId="77777777" w:rsidR="002D1EE5" w:rsidRDefault="002D1EE5" w:rsidP="00101F8B">
      <w:r>
        <w:continuationSeparator/>
      </w:r>
    </w:p>
    <w:p w14:paraId="08FB5035" w14:textId="77777777" w:rsidR="002D1EE5" w:rsidRDefault="002D1EE5" w:rsidP="00101F8B"/>
    <w:p w14:paraId="2C40B45B" w14:textId="77777777" w:rsidR="002D1EE5" w:rsidRDefault="002D1EE5" w:rsidP="00101F8B"/>
    <w:p w14:paraId="4953DC40" w14:textId="77777777" w:rsidR="002D1EE5" w:rsidRDefault="002D1EE5" w:rsidP="00101F8B"/>
    <w:p w14:paraId="3135713F" w14:textId="77777777" w:rsidR="002D1EE5" w:rsidRDefault="002D1EE5" w:rsidP="00101F8B"/>
    <w:p w14:paraId="6A464A3D" w14:textId="77777777" w:rsidR="002D1EE5" w:rsidRDefault="002D1EE5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49EF8B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1455360896" name="Picture 14553608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9EB"/>
    <w:multiLevelType w:val="hybridMultilevel"/>
    <w:tmpl w:val="C3C038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96B89"/>
    <w:multiLevelType w:val="hybridMultilevel"/>
    <w:tmpl w:val="6A326B74"/>
    <w:lvl w:ilvl="0" w:tplc="AFE6970E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D76F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825DE4"/>
    <w:multiLevelType w:val="multilevel"/>
    <w:tmpl w:val="6D8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91B0B"/>
    <w:multiLevelType w:val="hybridMultilevel"/>
    <w:tmpl w:val="37A40070"/>
    <w:lvl w:ilvl="0" w:tplc="2E40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D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4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8" w15:restartNumberingAfterBreak="0">
    <w:nsid w:val="7F053BA7"/>
    <w:multiLevelType w:val="hybridMultilevel"/>
    <w:tmpl w:val="8E0E268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729034499">
    <w:abstractNumId w:val="7"/>
  </w:num>
  <w:num w:numId="2" w16cid:durableId="1085416488">
    <w:abstractNumId w:val="1"/>
  </w:num>
  <w:num w:numId="3" w16cid:durableId="437601456">
    <w:abstractNumId w:val="6"/>
  </w:num>
  <w:num w:numId="4" w16cid:durableId="1147864144">
    <w:abstractNumId w:val="3"/>
  </w:num>
  <w:num w:numId="5" w16cid:durableId="228931103">
    <w:abstractNumId w:val="5"/>
  </w:num>
  <w:num w:numId="6" w16cid:durableId="517277591">
    <w:abstractNumId w:val="0"/>
  </w:num>
  <w:num w:numId="7" w16cid:durableId="2018382021">
    <w:abstractNumId w:val="4"/>
  </w:num>
  <w:num w:numId="8" w16cid:durableId="751241525">
    <w:abstractNumId w:val="2"/>
  </w:num>
  <w:num w:numId="9" w16cid:durableId="1714117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06500"/>
    <w:rsid w:val="000137FD"/>
    <w:rsid w:val="000358F3"/>
    <w:rsid w:val="00043B69"/>
    <w:rsid w:val="000461EB"/>
    <w:rsid w:val="00061321"/>
    <w:rsid w:val="00061DD9"/>
    <w:rsid w:val="00070438"/>
    <w:rsid w:val="00074CD8"/>
    <w:rsid w:val="00080CA2"/>
    <w:rsid w:val="000848FB"/>
    <w:rsid w:val="00091615"/>
    <w:rsid w:val="00097F8B"/>
    <w:rsid w:val="000A6D45"/>
    <w:rsid w:val="000E035C"/>
    <w:rsid w:val="00100A8B"/>
    <w:rsid w:val="00101F8B"/>
    <w:rsid w:val="0011184E"/>
    <w:rsid w:val="00114878"/>
    <w:rsid w:val="001218FC"/>
    <w:rsid w:val="001357FA"/>
    <w:rsid w:val="0013788F"/>
    <w:rsid w:val="001519FC"/>
    <w:rsid w:val="001528A7"/>
    <w:rsid w:val="00164BDC"/>
    <w:rsid w:val="001702A6"/>
    <w:rsid w:val="00173D7C"/>
    <w:rsid w:val="00183947"/>
    <w:rsid w:val="001A1D05"/>
    <w:rsid w:val="001A26A6"/>
    <w:rsid w:val="001A610F"/>
    <w:rsid w:val="001C2244"/>
    <w:rsid w:val="001C4B05"/>
    <w:rsid w:val="001C5D42"/>
    <w:rsid w:val="001D65D6"/>
    <w:rsid w:val="001D68EF"/>
    <w:rsid w:val="001E0A89"/>
    <w:rsid w:val="00242965"/>
    <w:rsid w:val="00247EBA"/>
    <w:rsid w:val="00255417"/>
    <w:rsid w:val="00260028"/>
    <w:rsid w:val="00284556"/>
    <w:rsid w:val="00297396"/>
    <w:rsid w:val="002A2230"/>
    <w:rsid w:val="002B6854"/>
    <w:rsid w:val="002D1EE5"/>
    <w:rsid w:val="002D4C18"/>
    <w:rsid w:val="002E3A4C"/>
    <w:rsid w:val="002E5D1E"/>
    <w:rsid w:val="002F4BBA"/>
    <w:rsid w:val="002F6791"/>
    <w:rsid w:val="00330D82"/>
    <w:rsid w:val="003321B2"/>
    <w:rsid w:val="00340436"/>
    <w:rsid w:val="0035404E"/>
    <w:rsid w:val="0038344C"/>
    <w:rsid w:val="00393CC3"/>
    <w:rsid w:val="003A093A"/>
    <w:rsid w:val="003B014B"/>
    <w:rsid w:val="003E2CBE"/>
    <w:rsid w:val="00400E83"/>
    <w:rsid w:val="00405F87"/>
    <w:rsid w:val="004369A3"/>
    <w:rsid w:val="00442F1A"/>
    <w:rsid w:val="004722B1"/>
    <w:rsid w:val="00494395"/>
    <w:rsid w:val="004A383F"/>
    <w:rsid w:val="004B022C"/>
    <w:rsid w:val="004C019F"/>
    <w:rsid w:val="004C057F"/>
    <w:rsid w:val="004C2A70"/>
    <w:rsid w:val="004E0ED9"/>
    <w:rsid w:val="004E1ADD"/>
    <w:rsid w:val="004F7CBA"/>
    <w:rsid w:val="0051652D"/>
    <w:rsid w:val="00534043"/>
    <w:rsid w:val="00550F98"/>
    <w:rsid w:val="00554054"/>
    <w:rsid w:val="0056439C"/>
    <w:rsid w:val="00570518"/>
    <w:rsid w:val="00584430"/>
    <w:rsid w:val="00590437"/>
    <w:rsid w:val="00591BD2"/>
    <w:rsid w:val="005B33BF"/>
    <w:rsid w:val="005B5EFA"/>
    <w:rsid w:val="005B66E8"/>
    <w:rsid w:val="005D512C"/>
    <w:rsid w:val="005D779D"/>
    <w:rsid w:val="005E57A5"/>
    <w:rsid w:val="005F112A"/>
    <w:rsid w:val="005F24B4"/>
    <w:rsid w:val="005F5665"/>
    <w:rsid w:val="0062100C"/>
    <w:rsid w:val="006449E3"/>
    <w:rsid w:val="006532E0"/>
    <w:rsid w:val="006559CB"/>
    <w:rsid w:val="006559EA"/>
    <w:rsid w:val="006A6700"/>
    <w:rsid w:val="006B657F"/>
    <w:rsid w:val="00700774"/>
    <w:rsid w:val="00706DDF"/>
    <w:rsid w:val="00710735"/>
    <w:rsid w:val="007167EE"/>
    <w:rsid w:val="007306A6"/>
    <w:rsid w:val="007368CD"/>
    <w:rsid w:val="0074683F"/>
    <w:rsid w:val="007541A8"/>
    <w:rsid w:val="00764062"/>
    <w:rsid w:val="00774185"/>
    <w:rsid w:val="00795319"/>
    <w:rsid w:val="007975F7"/>
    <w:rsid w:val="007A7837"/>
    <w:rsid w:val="007B40D8"/>
    <w:rsid w:val="007B51FD"/>
    <w:rsid w:val="007C2AD8"/>
    <w:rsid w:val="007C4F08"/>
    <w:rsid w:val="007D14A6"/>
    <w:rsid w:val="007D7EAD"/>
    <w:rsid w:val="007E17B4"/>
    <w:rsid w:val="008123D5"/>
    <w:rsid w:val="008158A3"/>
    <w:rsid w:val="00826E24"/>
    <w:rsid w:val="00833E72"/>
    <w:rsid w:val="00855BD2"/>
    <w:rsid w:val="00860FA8"/>
    <w:rsid w:val="00862D9C"/>
    <w:rsid w:val="0086340F"/>
    <w:rsid w:val="008678D9"/>
    <w:rsid w:val="00880FFC"/>
    <w:rsid w:val="00882E8C"/>
    <w:rsid w:val="00885C55"/>
    <w:rsid w:val="00892360"/>
    <w:rsid w:val="008B22EF"/>
    <w:rsid w:val="008B70E7"/>
    <w:rsid w:val="008B7266"/>
    <w:rsid w:val="008D13DD"/>
    <w:rsid w:val="009004FD"/>
    <w:rsid w:val="00911FE9"/>
    <w:rsid w:val="009126DF"/>
    <w:rsid w:val="00916475"/>
    <w:rsid w:val="00941ABA"/>
    <w:rsid w:val="00944B94"/>
    <w:rsid w:val="00957174"/>
    <w:rsid w:val="009728BB"/>
    <w:rsid w:val="009842D8"/>
    <w:rsid w:val="00993A92"/>
    <w:rsid w:val="009B7A7E"/>
    <w:rsid w:val="009C5F90"/>
    <w:rsid w:val="009C67AA"/>
    <w:rsid w:val="009D4245"/>
    <w:rsid w:val="009F7D1B"/>
    <w:rsid w:val="00A42A0F"/>
    <w:rsid w:val="00A621F7"/>
    <w:rsid w:val="00A66973"/>
    <w:rsid w:val="00A67D81"/>
    <w:rsid w:val="00A76FF5"/>
    <w:rsid w:val="00A94426"/>
    <w:rsid w:val="00A9752B"/>
    <w:rsid w:val="00AA0001"/>
    <w:rsid w:val="00AA189C"/>
    <w:rsid w:val="00AA79F3"/>
    <w:rsid w:val="00AC4CA6"/>
    <w:rsid w:val="00AC75ED"/>
    <w:rsid w:val="00AD2661"/>
    <w:rsid w:val="00B0010A"/>
    <w:rsid w:val="00B07D2D"/>
    <w:rsid w:val="00B12F7A"/>
    <w:rsid w:val="00B1304B"/>
    <w:rsid w:val="00B26674"/>
    <w:rsid w:val="00B35780"/>
    <w:rsid w:val="00B35E8D"/>
    <w:rsid w:val="00B40E22"/>
    <w:rsid w:val="00B606DA"/>
    <w:rsid w:val="00B75E3F"/>
    <w:rsid w:val="00B76EFE"/>
    <w:rsid w:val="00BA63ED"/>
    <w:rsid w:val="00BC54B3"/>
    <w:rsid w:val="00BD478B"/>
    <w:rsid w:val="00BE3E34"/>
    <w:rsid w:val="00BE6FB3"/>
    <w:rsid w:val="00BF0E43"/>
    <w:rsid w:val="00C162AA"/>
    <w:rsid w:val="00C20D00"/>
    <w:rsid w:val="00C25800"/>
    <w:rsid w:val="00C47839"/>
    <w:rsid w:val="00C719D5"/>
    <w:rsid w:val="00C722D2"/>
    <w:rsid w:val="00C816BD"/>
    <w:rsid w:val="00C95F0C"/>
    <w:rsid w:val="00C967EF"/>
    <w:rsid w:val="00C96D96"/>
    <w:rsid w:val="00CA5EC5"/>
    <w:rsid w:val="00CC1D78"/>
    <w:rsid w:val="00CC4CE1"/>
    <w:rsid w:val="00CC64C3"/>
    <w:rsid w:val="00CC6901"/>
    <w:rsid w:val="00CC7966"/>
    <w:rsid w:val="00CD61DB"/>
    <w:rsid w:val="00D1380D"/>
    <w:rsid w:val="00D218F6"/>
    <w:rsid w:val="00D23BA2"/>
    <w:rsid w:val="00D24EEB"/>
    <w:rsid w:val="00D25A65"/>
    <w:rsid w:val="00D30C23"/>
    <w:rsid w:val="00D40DE5"/>
    <w:rsid w:val="00D45506"/>
    <w:rsid w:val="00D82CA3"/>
    <w:rsid w:val="00DA3168"/>
    <w:rsid w:val="00DC0596"/>
    <w:rsid w:val="00DC5F80"/>
    <w:rsid w:val="00DD0D90"/>
    <w:rsid w:val="00DD25D1"/>
    <w:rsid w:val="00DD4093"/>
    <w:rsid w:val="00DE1286"/>
    <w:rsid w:val="00E028F3"/>
    <w:rsid w:val="00E056E4"/>
    <w:rsid w:val="00E140E4"/>
    <w:rsid w:val="00E216A5"/>
    <w:rsid w:val="00E242D4"/>
    <w:rsid w:val="00E32B5E"/>
    <w:rsid w:val="00E42FAF"/>
    <w:rsid w:val="00E546BE"/>
    <w:rsid w:val="00E57759"/>
    <w:rsid w:val="00E62EF9"/>
    <w:rsid w:val="00E66BEA"/>
    <w:rsid w:val="00E93171"/>
    <w:rsid w:val="00EA7552"/>
    <w:rsid w:val="00EB6CAC"/>
    <w:rsid w:val="00EC0FFA"/>
    <w:rsid w:val="00EC546E"/>
    <w:rsid w:val="00ED4A5F"/>
    <w:rsid w:val="00F17A44"/>
    <w:rsid w:val="00F23361"/>
    <w:rsid w:val="00F26330"/>
    <w:rsid w:val="00F27FAC"/>
    <w:rsid w:val="00F5083F"/>
    <w:rsid w:val="00F65A6A"/>
    <w:rsid w:val="00F70DB4"/>
    <w:rsid w:val="00F72412"/>
    <w:rsid w:val="00F848BE"/>
    <w:rsid w:val="00F86322"/>
    <w:rsid w:val="00F917AB"/>
    <w:rsid w:val="00F935EB"/>
    <w:rsid w:val="00FA737D"/>
    <w:rsid w:val="00FC421E"/>
    <w:rsid w:val="00FE2563"/>
    <w:rsid w:val="00FF3212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0F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F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E0A89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B35780"/>
    <w:pPr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3873F8"/>
    <w:rsid w:val="00417A06"/>
    <w:rsid w:val="00434FA4"/>
    <w:rsid w:val="004C057F"/>
    <w:rsid w:val="0055015F"/>
    <w:rsid w:val="0069790C"/>
    <w:rsid w:val="00A94426"/>
    <w:rsid w:val="00CA530B"/>
    <w:rsid w:val="00D107AD"/>
    <w:rsid w:val="00EC27C4"/>
    <w:rsid w:val="00ED4A5F"/>
    <w:rsid w:val="00F2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F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2024-01-17T00:00:00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ACFA63E171B4796BB76CE18D9E99A" ma:contentTypeVersion="14" ma:contentTypeDescription="Create a new document." ma:contentTypeScope="" ma:versionID="64e1d61dd2026e8b48acff0bd826518b">
  <xsd:schema xmlns:xsd="http://www.w3.org/2001/XMLSchema" xmlns:xs="http://www.w3.org/2001/XMLSchema" xmlns:p="http://schemas.microsoft.com/office/2006/metadata/properties" xmlns:ns2="30d79745-92fc-4b4e-a213-f975f2a6d945" xmlns:ns3="56dd2197-b210-47fb-97e9-4b8d7abdc0bc" targetNamespace="http://schemas.microsoft.com/office/2006/metadata/properties" ma:root="true" ma:fieldsID="0f0611980e988c893bd06832b16632b5" ns2:_="" ns3:_="">
    <xsd:import namespace="30d79745-92fc-4b4e-a213-f975f2a6d945"/>
    <xsd:import namespace="56dd2197-b210-47fb-97e9-4b8d7abd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2197-b210-47fb-97e9-4b8d7abd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56dd2197-b210-47fb-97e9-4b8d7abdc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1165A-E129-4043-BE27-2F7F377EB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79745-92fc-4b4e-a213-f975f2a6d945"/>
    <ds:schemaRef ds:uri="56dd2197-b210-47fb-97e9-4b8d7ab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56dd2197-b210-47fb-97e9-4b8d7abdc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Dedicated Schools Grant (DSG) 2025-26</dc:title>
  <dc:subject>
  </dc:subject>
  <dc:creator>Sara Walsingham</dc:creator>
  <cp:keywords>
  </cp:keywords>
  <dc:description>
  </dc:description>
  <cp:lastModifiedBy>Phillip Nduoyo</cp:lastModifiedBy>
  <cp:revision>100</cp:revision>
  <dcterms:created xsi:type="dcterms:W3CDTF">2024-12-08T14:22:00Z</dcterms:created>
  <dcterms:modified xsi:type="dcterms:W3CDTF">2025-01-16T17:38:00Z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0x010100615ACFA63E171B4796BB76CE18D9E99A</vt:lpwstr>
  </property>
  <property fmtid="{D5CDD505-2E9C-101B-9397-08002B2CF9AE}" pid="3" name="MediaServiceImageTags">
    <vt:lpwstr/>
  </property>
  <property fmtid="{D5CDD505-2E9C-101B-9397-08002B2CF9AE}" pid="4" name="Order">
    <vt:r8>401272300</vt:r8>
  </property>
  <property fmtid="{D5CDD505-2E9C-101B-9397-08002B2CF9AE}" pid="5" name="_ExtendedDescription">
    <vt:lpwstr/>
  </property>
</Properties>
</file>